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Chiswick Park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Chiswick Park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July 2019</w:t>
      </w:r>
      <w:bookmarkEnd w:id="7"/>
      <w:r w:rsidRPr="009418D4">
        <w:rPr>
          <w:rFonts w:cs="Arial"/>
        </w:rPr>
        <w:tab/>
        <w:t xml:space="preserve">End date: </w:t>
      </w:r>
      <w:bookmarkStart w:id="8" w:name="AuditEndDate"/>
      <w:r w:rsidR="00A4268A">
        <w:rPr>
          <w:rFonts w:cs="Arial"/>
        </w:rPr>
        <w:t>26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Addition of Young People with Disabilities – Physical service.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Chiswick Park Lifecare provides rest home and hospital level care for up to 51 residents. The service is operated by Heritage Lifecare Limited and managed by a care home manager and a clinical services manager. The service is to include a young people with disabilities – Physical services contract for eight of the current beds to their service provision. Residents and families spoke positively about the care provided.</w:t>
      </w:r>
    </w:p>
    <w:p w:rsidRPr="00A4268A">
      <w:pPr>
        <w:spacing w:before="240" w:line="276" w:lineRule="auto"/>
        <w:rPr>
          <w:rFonts w:eastAsia="Calibri"/>
        </w:rPr>
      </w:pPr>
      <w:r w:rsidRPr="00A4268A">
        <w:rPr>
          <w:rFonts w:eastAsia="Calibri"/>
        </w:rPr>
        <w:t xml:space="preserve">This certification and partial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 nurse practitioner and a general practitioner.  </w:t>
      </w:r>
    </w:p>
    <w:p w:rsidRPr="00A4268A">
      <w:pPr>
        <w:spacing w:before="240" w:line="276" w:lineRule="auto"/>
        <w:rPr>
          <w:rFonts w:eastAsia="Calibri"/>
        </w:rPr>
      </w:pPr>
      <w:r w:rsidRPr="00A4268A">
        <w:rPr>
          <w:rFonts w:eastAsia="Calibri"/>
        </w:rPr>
        <w:t>This audit has resulted in a continuous improvement rating in relation to residents’ meals. 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about the Health and Disability Commissioner’s Code of Health and Disability Services Consumers’ Rights (the Code) is provided to residents and their families when they enter the service. The Code is upheld with residents’ rights respected in all areas of service delivery. Services provided support personal privacy, independence, individuality and dignity. Staff interact with residents in a respectful manner. There was no evidence of abuse, neglect or discrimination.</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and those from other ethnic backgrounds, have their needs met in a manner that respects their cultural values and beliefs.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business plan includes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Chiswick Park Lifecare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entering Chiswick Park Lifecare have their needs assessed on admission by the multidisciplinary team, and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Residents’ 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of Chiswick Park Lifecare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at Chiswick Park Lifecare is overseen by an activities co-ordinator who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enablers and three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96"/>
        <w:gridCol w:w="1280"/>
        <w:gridCol w:w="91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has developed policies, procedures and processes to meet its obligations in relation to the Code of Health and Disability Services Consumers’ Rights (the Code).  Staff at Chiswick Park Lifecare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The consumer auditor interviewed two residents with physical disabilities who are on a Ministry of Health contract. Both confirmed they are aware of their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All clinical files reviewed showed that informed consent had been gained appropriately using the organisation’s standard consent form. Consent for influenza vaccinations were also on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as relevant, in the resident’s record.  Staff were observed to gain verbal consent for day to day care and residents interviewed confirmed staff ask them what they want and give them choices.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as well as a brochure on the New Zealand Advocacy service. Posters and additional brochures related to the Advocacy Service were also displayed and available in the facility. Family members and residents spoken with were aware of the Advocacy Service, how to access this and their right to have support persons. There were two examples provided of residents having used other people as an advocate to assist them with concerns prior to a change of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Several residents interviewed specifically mentioned their enjoyment of outings, van rides and visiting entertainers. A number of visitors who were assisting their own family member, such as during the mid-day meal, were also observed to be friendly and helpful to other residents whom they clearly knew well. Residents informed their family and friends come and go as they please with some visiting regularly.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concerns/complaints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over the past year and that actions taken, through to an agreed resolution, are documented and completed within the timeframes.  Action plans showed any required follow up and improvements have been made where possible.  The Care Home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through discussions with staff when they, or their family member, entered the service. They were provided with a copy of the Code and one person provided their copy to the auditor as evidence. The Code is displayed in English and te reo Māori in the three main wings of the facility. Further copies of the Code, together with information on advocacy services, how to make a complaint and feedback forms are available near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contributing to their plan of care, participating in community-based activities as they choose and being supported to pursue their personal interests, which was also observed during the audit.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 Specific spiritual beliefs and practices of one person are respected.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There was a current Māori health plan developed with input from cultural advisers.  Guidance on tikanga best practice is available and is supported by staff who identify as Māori in the facility.  Two residents at Chiswick Park identify as Māori. A review of one of these resident’s file verified the resident’s cultural needs have been assessed using the Heritage Māori Health Care Plan. The care plan addresses all aspects of the resident’s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residents and their whānau interviewed reported that staff acknowledge and respect their individual cultural needs. The use of te reo Māori is embraced and one person informed that whānau often take seafood and hangi food in for them. The principles of the Treaty of Waitangi are incorporated into day to day practice, as is the importance of whānau. This was evident during interview with a resident who has whānau visiting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with examples being residents who identify with other ethnic groups (including Asian), two people with less common spiritual followings and special cultural interests such as art and sport.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All residents and relatives interviewed were certain that no such behaviours had been witnessed or spoken of. One person reported actions taken for a person who was experiencing significant personal distress.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and input from external specialist services and allied health professionals, including palliative care services and mental health services for older persons. A recent change in manager has been a positive experience for the residents and family members at Chiswick Park with overwhelming accolades from residents and family members interviewed for the new person’s communication skills and responsiveness to concerns.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managers described the roles of internal ‘champion’ nurses for palliative care, continence and wound care. These nurses are specialists in their field and not only maintain their own expertise and training but also educate other staff to ensure best practice is maintained. Registered nurses are able to access online training through Ko Awatea and caregivers pursue their certificate in health and wellbeing through a recognised training institution, with support from an in-house registered nurse who is an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Staff are encouraged to link with their professional networks as applicable to support contemporary good practice. For example, the clinical services manager attends district health board forums and feeds back to the team. Another example of good practice is the service provider’s commitment to listening to, and responding to, resident centred feedback. For example, there is a resident advocate who has been appointed by the residents to speak on their behalf at times. At the end of each residents’ meeting the residents meet with the advocate and discuss any areas that they were not happy to discuss. The advocate will then present these to the person responsible for chairing the meeting who will coordinate a response,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through the local district health board, although reported this had not yet been required. It was also reported that the range of cultures among the staff and family members means interpretation is available as and when needed, or residents may have an everyday conversation in their own language if they choose. All residents on the Ministry of Health young people with disabilities contract are able to make their needs known easily.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business plan, reviewed annually, outlines the purpose, values, scope, direction and goals of the organisation with objectives that are site specific. The organisation’s philosophy reflects a person/family centred approach. The documents described annual and longer-term objectives and the associated operational plans. A sample of monthly reports to support office showed adequate information to monitor performance is reported including staffing, occupancy, budget KPIs,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(CHM) who holds relevant qualifications and has been in the role for less than a year. Responsibilities and accountabilities are defined in a job description and individual employment agreement. The CHM confirmed knowledge of the sector, regulatory and reporting requirements and maintains currency through attendance at management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Mid-Central District Health Board (MCDHB) for complex medical conditions, hospital and geriatric care, long term chronic conditions, rest home care, respite care and with the Ministry of Health (MoH) for Young People with Disabilities (YPD).  Forty residents were receiving services under the contract (19 rest home residents including two YPD residents, 21 hospital care including two YPD residents), and there was one private paying and one Accident Corporation Compensation (ACC) resident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CHM is absent, the clinical services manager (CSM) carries out all the required duties under delegated authority from Heritage Lifecare Limited (HLL) support office. During absences of key clinical staff, the clinical management is overseen by a registered nurse (RN) who is experienced in the sector and able to take responsibility for any clinical issues that may arise. Staff reported the current arrangements work well and reported the new management team and HLL were very supportive.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an annual resident satisfaction survey, monitoring of outcomes and clinical incidents including infections.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RN, quality, staff and support office meetings. Staff reported their involvement in quality and risk management activities through audit activities and feedback at staff meetings. Relevant corrective actions are developed and implemented to address any shortfalls. Young people with disabilities have input into quality improvement and decision making, including access to technology, aids and equipment as appropriate to them. Resident and family satisfaction surveys are completed annually. The most recent survey was sent to residents and family in May 2019 and is still being collated at support office. The 2018 survey was with the previous owner and results are not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entered onto the electronic system and collated at support office each month and the results returned to the facility for analyses. A sample of monthly analysed data showed the facility has reduced adverse events over the past year.</w:t>
            </w:r>
          </w:p>
          <w:p w:rsidR="00EB7645" w:rsidRPr="00BE00C7" w:rsidP="00BE00C7">
            <w:pPr>
              <w:pStyle w:val="OutcomeDescription"/>
              <w:spacing w:before="120" w:after="120"/>
              <w:rPr>
                <w:rFonts w:cs="Arial"/>
                <w:b w:val="0"/>
                <w:lang w:eastAsia="en-NZ"/>
              </w:rPr>
            </w:pPr>
            <w:r w:rsidRPr="00BE00C7">
              <w:rPr>
                <w:rFonts w:cs="Arial"/>
                <w:b w:val="0"/>
                <w:lang w:eastAsia="en-NZ"/>
              </w:rPr>
              <w:t>The CHM described essential notification reporting requirements, including for pressure injuries. They advised there have been five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and for young people with physical disabilities. Care staff have either completed or commenced a New Zealand Qualification Authority education programme to meet the requirements of the provider’s agreement with the DHB.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four 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Chiswick Park Lifecare (Chiswick Park) when their required level of care has been assessed and confirmed by the local Needs Assessment and Service Coordination (NASC) Service. Authorisations for placement were sighted in files reviewed. Prospective residents and/or their families are encouraged to visit the facility prior to admission and meet with the care home manager (CHM)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Mid-Central Health District Health Board’s (MDHB) ‘pink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at Chiswick Park who was self-administering all medications at the time of audit. Appropriate processes were in place to ensure this is managed in a safe manner. The medication systems in place at Chiswick Park can support the proposed increase in the number of physically disabled clients, including the ability to enable those clients wishing to self-administer medications, to do so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CSM or CHM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Chiswick Park.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at Chiswick Park is provided on site by a cook and is in line with recognised nutritional guidelines for older people. The menu follows summer and winter patterns and was reviewed by a qualified dietitian in June 2019.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Palmerston North City Council. A verification audit of the food control plan has not been undertaken, however an email from the council verified the audit is scheduled for 25 February 2020. The food control plans registration has been reissued and expires 25 February 2020.</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The attention to addressing several resident’s specific food requests is an area identified as one of continuous improvement.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2018 satisfaction surveys and resident meeting minutes. Any areas of dissatisfaction were promptly responded to. Residents were seen to be given time to eat their meal in an unhurried fashion and those requiring assistance had this provided. There were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The present food service offered at Chiswick Park, will accommodate the proposed increase in the number of young clients with physical disabilities.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at Chiswick Park,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of Chiswick Park are initially assessed using a range nursing assessment tools such as pain scale, falls risk, skin integrity, nutritional screening, behavioural and depression scale, to identify any deficits and to inform initial care planning. Within three weeks of admission residents (except for the YPD resident) are assessed using the interRAI assessment tool, to inform long term care planning. The YPDs residents are assessed using a range of clinical assessment tools, to inform care planning. Reassessment using the interRAI assessment tool or in the case of YPD residents, clinical assessment tools, in conjunction with additional assessment data, occurs every six months or more frequently as residents changing conditions require. Ongoing assessments are sighted for residents with ongoing needs related to wound care, behaviour, falls risks, activities and nutritional deficits. </w:t>
            </w:r>
          </w:p>
          <w:p w:rsidR="00EB7645" w:rsidRPr="00BE00C7" w:rsidP="00BE00C7">
            <w:pPr>
              <w:pStyle w:val="OutcomeDescription"/>
              <w:spacing w:before="120" w:after="120"/>
              <w:rPr>
                <w:rFonts w:cs="Arial"/>
                <w:b w:val="0"/>
                <w:lang w:eastAsia="en-NZ"/>
              </w:rPr>
            </w:pPr>
            <w:r w:rsidRPr="00BE00C7">
              <w:rPr>
                <w:rFonts w:cs="Arial"/>
                <w:b w:val="0"/>
                <w:lang w:eastAsia="en-NZ"/>
              </w:rPr>
              <w:t>In all files reviewed initial assessments are completed as per the policy and within 24 hours of admission. InterRAI assessments/other clinical assessments are completed within three weeks of admission and at least six monthly unless the resident’s condition changes.</w:t>
            </w:r>
          </w:p>
          <w:p w:rsidR="00EB7645" w:rsidRPr="00BE00C7" w:rsidP="00BE00C7">
            <w:pPr>
              <w:pStyle w:val="OutcomeDescription"/>
              <w:spacing w:before="120" w:after="120"/>
              <w:rPr>
                <w:rFonts w:cs="Arial"/>
                <w:b w:val="0"/>
                <w:lang w:eastAsia="en-NZ"/>
              </w:rPr>
            </w:pPr>
            <w:r w:rsidRPr="00BE00C7">
              <w:rPr>
                <w:rFonts w:cs="Arial"/>
                <w:b w:val="0"/>
                <w:lang w:eastAsia="en-NZ"/>
              </w:rPr>
              <w:t>Interviews, documentation and observation verified the RNs are familiar with requirement for reassessment of a resident using the interRAI assessment tool when a resident has increasing or changing need levels. This was verified in the reassessment sighted of a resident requiring a change in care level, and change in placement</w:t>
              <w:br/>
              <w:br/>
              <w:t>Except for YPD residents, all other residents have current interRAI assessments completed by nine trained interRAI assessors on site. Where required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reflected the support needs of residents of Chiswick Park, and the outcomes of the integrated assessment process and other relevant clinical information. In particular, the needs identified by the interRAI assessments, and clinical assessments are reflected in the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Plans of young disabled residents were person centred, developed with the client and included wellbeing, community participation, and meeting the client’s physical and health needs where the assistance of Chiswick Park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at Chiswick Park was consistent with their needs, goals and the plan of care. The attention to meeting a diverse range of resident’s individualised needs was evident in all areas of service provision. The GP and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 normal community activities. Individual, group activities and regular events are offered. Examples included bingo, housie, inter rest home competitions, visits by local school groups, canine pets visiting entertainers, quiz sessions, knitting group, crafts, baking and daily news updates. The activities programme is discussed at the minuted residents’ meetings and indicated residents’ input is sought and responded to.</w:t>
            </w:r>
          </w:p>
          <w:p w:rsidR="00EB7645" w:rsidRPr="00BE00C7" w:rsidP="00BE00C7">
            <w:pPr>
              <w:pStyle w:val="OutcomeDescription"/>
              <w:spacing w:before="120" w:after="120"/>
              <w:rPr>
                <w:rFonts w:cs="Arial"/>
                <w:b w:val="0"/>
                <w:lang w:eastAsia="en-NZ"/>
              </w:rPr>
            </w:pPr>
            <w:r w:rsidRPr="00BE00C7">
              <w:rPr>
                <w:rFonts w:cs="Arial"/>
                <w:b w:val="0"/>
                <w:lang w:eastAsia="en-NZ"/>
              </w:rPr>
              <w:t>A men’s group operates at Chiswick Park every week. During the summer months the men sand, paint and build, with assistance from the maintenance man. Over the winter months the men have been actively involved in building Lego models.</w:t>
            </w:r>
          </w:p>
          <w:p w:rsidR="00EB7645" w:rsidRPr="00BE00C7" w:rsidP="00BE00C7">
            <w:pPr>
              <w:pStyle w:val="OutcomeDescription"/>
              <w:spacing w:before="120" w:after="120"/>
              <w:rPr>
                <w:rFonts w:cs="Arial"/>
                <w:b w:val="0"/>
                <w:lang w:eastAsia="en-NZ"/>
              </w:rPr>
            </w:pPr>
            <w:r w:rsidRPr="00BE00C7">
              <w:rPr>
                <w:rFonts w:cs="Arial"/>
                <w:b w:val="0"/>
                <w:lang w:eastAsia="en-NZ"/>
              </w:rPr>
              <w:t>Activities for younger residents focus around enabling them to continue to participate in activities they were involved with prior to injury. One resident has taken up riding a pushbike and uses this to get to the local shop independently. Another resident is transported to a venue where a card group meets. Younger residents verified the activities co-ordinator enables them the choice to participate in range of education, recreation, leisure, cultural and community activities consistent with their interests and of their choosing.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2018 surveys, resident meeting minutes, and onsite observations demonstrated satisfaction and that information is used to improve the range of activities offered. Residents interviewed confirmed they find the programme meets their needs. </w:t>
            </w:r>
          </w:p>
          <w:p w:rsidR="00EB7645" w:rsidRPr="00BE00C7" w:rsidP="00BE00C7">
            <w:pPr>
              <w:pStyle w:val="OutcomeDescription"/>
              <w:spacing w:before="120" w:after="120"/>
              <w:rPr>
                <w:rFonts w:cs="Arial"/>
                <w:b w:val="0"/>
                <w:lang w:eastAsia="en-NZ"/>
              </w:rPr>
            </w:pPr>
            <w:r w:rsidRPr="00BE00C7">
              <w:rPr>
                <w:rFonts w:cs="Arial"/>
                <w:b w:val="0"/>
                <w:lang w:eastAsia="en-NZ"/>
              </w:rPr>
              <w:t>An interview with the activities co-ordinator, CSM and CHM verified the activities programme will be expanded to meet the proposed increase in the number of young physically disabled clients at Chiswick Park.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clinical assessments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NP or RN sends a referral to seek specialist input. Copies of referrals were sighted in residents’ files, including to older persons’ mental health services. Referrals are followed up on a regular basis by the RN/NP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07 July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 The facility is accessible to meet mobility and equipment needs of people requiring services, including younger people.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different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any requests are appropriately actioned. Residents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one room with full ensuite.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 facility includes places where young people with disabilities can find privacy within communal areas. There is consideration of compatibility among the resident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cleaning team who have received appropriate training,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The emergency plan considers the needs of young people with disabilities in an emergency. Disaster and civil defence planning guides direct the facility in their preparation for disasters and describe the procedures to be followed in the event of a fire or other emergency. The current fire evacuation plan was approved by the New Zealand Fire Service on the 15 March 2004.  A trial evacuation takes place six-monthly with a copy sent to the New Zealand Fire Service, the most recent being on 25 February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occupancy of residents, and meet requirements for the area. Water storage tanks are located around the complex, and there is a generator available if required.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electric panel heating in residents’ rooms and under floor heating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Chiswick Park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CSM/infection control nurse (ICN).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CSM at Chiswick Park is currently the designated infection control nurse whose role and responsibilities are defined in a job description. Infection control matters, including surveillance results, are reported monthly to the CHM and tabled at the quality/infection control/health and safety meeting and the staff meeting. Infection control statistics are entered in the organisation’s electronic database and benchmarked within the organisation’s other facilities. The organisation’s support office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No changes will be required to infection control management at Chiswick Park, to accommodate the proposed increase in young clients with physical disabilities.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appropriate skills, knowledge and qualifications for the role and has undertaken post graduate training in infection prevention and control and attended relevant study days, as verified in training records sighted. Well-established local networks with the infection control team at the DHB are available and expert advice from the community laboratory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ICN/CSM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three residents were using restraints and four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files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CHM, CSM and RNs,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family/whānau/EPOA. The RN interviewed/restraint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the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low beds and landing mats.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HLL support office restraint committee undertakes a six-monthly review of all restraint in use which includes all the requirements of this Standard. Six monthly restraint meetings and reports are completed and individual use of restraint use is reported to each facility including Cheswick Park Lifecare.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the CHM confirmed that the use of restraint has been reduced by at least 50% over the past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9873"/>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meeting minutes in May 2019 recorded residents’ complaints regarding cold and rubbery toast that was hard to eat. Staff in the hospital area reported several residents were not eating their toast in the morning. Six residents were asked why they were not eating it and five out of the six said it was cold and rubbery by the time they received it.</w:t>
            </w:r>
          </w:p>
          <w:p w:rsidR="00EB7645" w:rsidRPr="00BE00C7" w:rsidP="00BE00C7">
            <w:pPr>
              <w:pStyle w:val="OutcomeDescription"/>
              <w:spacing w:before="120" w:after="120"/>
              <w:rPr>
                <w:rFonts w:cs="Arial"/>
                <w:b w:val="0"/>
                <w:lang w:eastAsia="en-NZ"/>
              </w:rPr>
            </w:pPr>
            <w:r w:rsidRPr="00BE00C7">
              <w:rPr>
                <w:rFonts w:cs="Arial"/>
                <w:b w:val="0"/>
                <w:lang w:eastAsia="en-NZ"/>
              </w:rPr>
              <w:t>The staff brainstormed how to resolve the situation and it was decided rather than the toast being cooked in the main kitchen, if the staff had access to a toaster, they could cook the toast in the kitchenette. They could then cook the toast as and when the resident was ready for breakfast which would prevent the toast sitting and cooling down. A toaster was purchased and every morning a supply of bread was ready for staff to cook as residents were ready. After a four-week trial period, the six residents who had previously commented about the toast being cold and rubbery (and as a result not eating it), were asked if there was an improvement in the quality of the toast. Four of the six residents verbally expressed satisfaction. The other two, in addition to other residents, were observed to be eating all their toast in the morning. Residents meeting minutes in July 2019 record satisfaction with hot toast in the morning.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at Chiswick Park are eating more toast at breakfast, after an initiative was implemented to ensure toast was hot.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Chiswick Park Lifecare</w:t>
    </w:r>
    <w:bookmarkEnd w:id="58"/>
    <w:r>
      <w:rPr>
        <w:rFonts w:cs="Arial"/>
        <w:sz w:val="16"/>
        <w:szCs w:val="20"/>
      </w:rPr>
      <w:tab/>
      <w:t xml:space="preserve">Date of Audit: </w:t>
    </w:r>
    <w:bookmarkStart w:id="59" w:name="AuditStartDate1"/>
    <w:r>
      <w:rPr>
        <w:rFonts w:cs="Arial"/>
        <w:sz w:val="16"/>
        <w:szCs w:val="20"/>
      </w:rPr>
      <w:t>25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