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Metlifecare Limited - Crestwood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Partial Provisional Audit; 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Metlifecare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Metlifecare Crestwood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August 2019</w:t>
      </w:r>
      <w:bookmarkEnd w:id="7"/>
      <w:r w:rsidRPr="009418D4">
        <w:rPr>
          <w:rFonts w:cs="Arial"/>
        </w:rPr>
        <w:tab/>
        <w:t xml:space="preserve">End date: </w:t>
      </w:r>
      <w:bookmarkStart w:id="8" w:name="AuditEndDate"/>
      <w:r w:rsidR="00A4268A">
        <w:rPr>
          <w:rFonts w:cs="Arial"/>
        </w:rPr>
        <w:t>27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facility wishes to reconfigure services to enable all 41 beds to become hospital level care as well as rest home (dual purpose).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Metlifecare Crestwood currently provides rest home level care for up to 41 residents. The service is operated by Metlifecare Limited and managed by a nurse manager who reports directly to the village manager who oversees all services including the attached village. Residents and families spoke positively about the care provided.</w:t>
      </w:r>
    </w:p>
    <w:p w:rsidRPr="00A4268A">
      <w:pPr>
        <w:spacing w:before="240" w:line="276" w:lineRule="auto"/>
        <w:rPr>
          <w:rFonts w:eastAsia="Calibri"/>
        </w:rPr>
      </w:pPr>
      <w:r w:rsidRPr="00A4268A">
        <w:rPr>
          <w:rFonts w:eastAsia="Calibri"/>
        </w:rPr>
        <w:t xml:space="preserve">The service has made an application to reconfigure their services from being solely rest home level care to include hospital level care and to use all 41 beds as dual purpose beds. </w:t>
      </w:r>
    </w:p>
    <w:p w:rsidRPr="00A4268A">
      <w:pPr>
        <w:spacing w:before="240" w:line="276" w:lineRule="auto"/>
        <w:rPr>
          <w:rFonts w:eastAsia="Calibri"/>
        </w:rPr>
      </w:pPr>
      <w:r w:rsidRPr="00A4268A">
        <w:rPr>
          <w:rFonts w:eastAsia="Calibri"/>
        </w:rPr>
        <w:t xml:space="preserve">This surveillance/partial provisional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nurse practitioner. </w:t>
      </w:r>
    </w:p>
    <w:p w:rsidRPr="00A4268A">
      <w:pPr>
        <w:spacing w:before="240" w:line="276" w:lineRule="auto"/>
        <w:rPr>
          <w:rFonts w:eastAsia="Calibri"/>
        </w:rPr>
      </w:pPr>
      <w:r w:rsidRPr="00A4268A">
        <w:rPr>
          <w:rFonts w:eastAsia="Calibri"/>
        </w:rPr>
        <w:t>This audit identified one area requiring improvement relating to gaining registered nurse coverage for 24 hours a day, seven days a week prior to hospital level care services being made available. There were no areas identified that required follow up from the previous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was confirmed to be effective. There is access to formal interpreting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w:t>
      </w:r>
    </w:p>
    <w:p w:rsidRPr="00A4268A">
      <w:pPr>
        <w:spacing w:before="240" w:line="276" w:lineRule="auto"/>
        <w:rPr>
          <w:rFonts w:eastAsia="Calibri"/>
        </w:rPr>
      </w:pPr>
      <w:r w:rsidRPr="00A4268A">
        <w:rPr>
          <w:rFonts w:eastAsia="Calibri"/>
        </w:rPr>
        <w:t>Currently, staffing levels and skill mix meet the changing needs of rest home level care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Metlifecare Limited Crestwood have their needs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overseen by three activities co-ordinators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is a current building warrant of fitness.  Electrical and biomedical equipment is tested as required. Communal and individual spaces are maintained at a comfortable temperature. External areas are accessible, safe and provide shade and seating.  There is adequate equipment to cater for hospital level care residents.</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 The laundry staff have no concerns about the increase of laundry once hospital level care is introduced as they have adequate equipment to cater for this.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As there will be no reconfiguration of rooms, no changes are required to the current fire evacuation processes.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a restraint free environment. No restraints were in use at the time of audit.  A comprehensive assessment, approval and monitoring process is identified in policy should it be required.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an external advisory company and the organisation’s clinical advisory group. The programme is reviewed annually.</w:t>
      </w:r>
    </w:p>
    <w:p w:rsidRPr="00A4268A">
      <w:pPr>
        <w:spacing w:before="240" w:line="276" w:lineRule="auto"/>
        <w:rPr>
          <w:rFonts w:eastAsia="Calibri"/>
        </w:rPr>
      </w:pPr>
      <w:r w:rsidRPr="00A4268A">
        <w:rPr>
          <w:rFonts w:eastAsia="Calibri"/>
        </w:rPr>
        <w:t>Aged care specific infection surveillance is undertaken with data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24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58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feedback forms are located in the main corridor. Residents and family members who were interviewed knew where to locate forms and understood how to make a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two complaints have been received over the past year. Both complaints have documented actions taken, one through to an agreed resolution, within the timeframes.  Action plans showed any required follow up and improvements have been made where possible.  One complaint received from the Waitemata District Board (WDHB), received in May 2019 via the WDHBs internal incident reporting and management system, involved a resident from Crestwood who was admitted at Waitakere Hospital. The incident was entered by Waitakere emergency department staff. The areas of concern were around the quality of care provided to this resident in relation to her personal hygiene, skin and pressure area care, and continence management. All areas of concern were fully addressed, and documentation has been sent to the WDHB. The facility is awaiting the outcome of the information sent. The DHB is currently investigating this incident.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responsible for complaints management and follow up. All complaints are entered in the Metlifecare electronic system and complaints management is overseen by the clinical and risk quality manager for the area.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and care planning review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Interpreting New Zealand when required. Staff knew how to do so and brochures on the service were easily accessible.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and reported against quarterly, outline the purpose, values, scope, direction and goals of the organisation. The documents described annual and longer term objectives and the associated operational plans. A sample of quarterly reports that are sent to the clinical governance group who then report to the board of directors showed adequate information to monitor performance is reported including staffing, quality data outcomes,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nurse manager (registered nurse) who holds relevant qualifications and has been in the role for 18 months. Responsibilities and accountabilities are defined in a job description and individual employment agreement. The nurse manager reports directly to the village manager who has been in the role for two years. Both the nurse manager and the clinical quality and risk manager confirmed their knowledge of the sector, regulatory and reporting requirements. Management qualifications are maintained through ongoing clinical and management education, training and seminars.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WDHB for rest home level care including respite care. All 39 residents were receiving services under the Age Related Residential Care contract at the time of audit. The WDHB confirmed their awareness of the facility’s intention to reconfigure services (March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village manager is absent, the operations manager and nurse manager carry out all the required duties under delegated authority. During absences of key clinical staff, the clinical management is overseen using a ‘cluster approach’ by ensuring appropriate clinical oversight is in place. This involves registered nurses from near-by facilities owned by Metlifecare assisting with staff coverage. They are experienced in the sector and able to take responsibility for any clinical issues that may arise. Staff reported the current arrangements work well. No changes are required to this system related to the request to reconfigure services to provide both hospital and rest home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falls,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contributes quality data information into a recently formed benchmarking group involving six age care provider groups, with Metlifecare being one. This data covers falls, pressure injuries, medication errors, and restraint. It has yet to be fully evaluated. Infection control data is also benchmarked by an off-site group.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management team meetings, quality and risk team meetings, senior clinical management meetings and staff meetings. Staff reported their involvement in quality and risk management activities through audit activities, and the implementation of corrective actions. Relevant corrective actions are developed and implemented to address any shortfalls. Resident and family satisfaction surveys are completed annually. The 2019 overall satisfaction feedback from the satisfaction surveys gained a 90% rating with the care topic rating 100%. Corrective actions are documented to address areas raised in the satisfaction surveys which included activities which gained an 87% rating. Interventions that have occurred to date are the increase in activity staff hours, an updated activities calendar being put in place which includes items such as swimming and more physical activities. The outcomes are yet to be measured overall but the uptake for all interventions have been measured and identify that more residents are engaging in meaningful activities. The corrective actions put around the 2018 satisfaction survey showed that improvements had been made and fully evaluated such as food services rating going from 83% in 2018 to 97% in 2019.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covered all necessary aspects of the service and contractual requirements, including reference to the interRAI Long Term Care Facility (LTCF) assessment tool and process.  Policies are based on best practice and were current and a suitable for hospital level care and medical (non-acute) care.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and reported each event via an electronic reporting system so that the clinical quality and risk managers have real-time access and can assist with follow up as required. A sample of incidents forms reviewed showed these were fully completed, incidents were investigated, action plans developed and actions followed-up in a timely manner.  Adverse event data is collated, analysed and reported to senior clinical management, the nurse manager, village manager and shared with staff and residents as appropriate. Nominated enduring power of attorney or next of kin are informed of any event involving their relative.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aware of essential notification reporting requirements, including for pressure injuries. The clinical quality and risk manager undertakes all reporting requirements and they advised there have been three notifications of significant events made to the Ministry of Health, since the previous audit. One 16 April 2018 for a grade three pressure injury which is now healed, one on 06 November 2018 when a relative removed a resident, and one on 10 June 2019 related to a missing resident who was found uninjured.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police investigations, coroner’s inquests, issues-based audits and any other notifications such as to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and then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At the time of audit there was only one trained and competent registered nurse who had maintained their annual competency requirements to undertake interRAI assessments. Records reviewed demonstrated completion of the required training and completion of annual performance appraisals for interRAI. The nurse manager is also interRAI trained but has yet to complete the required annual update. The clinical quality and risk manager stated that this is not an issue as interRAI trained staff from a sister-site are available to assist if required. All interRAI assessments were up to date.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 Processes in place will be maintained for all new staff. Staff orientation and education is suitable for hospital level care provision.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Staffing levels meet the interRAI acuity level report findings.  Observations and review of a four-week roster cycle confirmed adequate staff cover has been provided, with staff replaced in any unplanned absence.  At least one staff member on duty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A projected roster is in place which shows that there will be 24 hour/seven days a week (24//7) RN coverage when hospital level care commences. The service will require that there are adequate numbers of registered nurses employed to cover all shifts prior to commencing hospital level care services. </w:t>
            </w:r>
          </w:p>
          <w:p w:rsidR="00EB7645" w:rsidRPr="00BE00C7" w:rsidP="00BE00C7">
            <w:pPr>
              <w:pStyle w:val="OutcomeDescription"/>
              <w:spacing w:before="120" w:after="120"/>
              <w:rPr>
                <w:rFonts w:cs="Arial"/>
                <w:b w:val="0"/>
                <w:lang w:eastAsia="en-NZ"/>
              </w:rPr>
            </w:pPr>
            <w:r w:rsidRPr="00BE00C7">
              <w:rPr>
                <w:rFonts w:cs="Arial"/>
                <w:b w:val="0"/>
                <w:lang w:eastAsia="en-NZ"/>
              </w:rPr>
              <w:t>Activities are undertaken from 9am to 4.30pm Monday to Friday and 12.30pm to 3.30pm Saturday and Sunday. Laundry staff work 9am to 1.30pm Monday to Friday and one staff member works 8am to 12md Saturday and Sunday covering laundry and cleaning. Cleaning is undertaken 13 hours a day Monday to Friday. An administration assistant works 10am to 3pm three days a week. The nurse manager, registered nurse and village manager work Monday to Friday and on call.</w:t>
            </w:r>
          </w:p>
          <w:p w:rsidR="00EB7645" w:rsidRPr="00BE00C7" w:rsidP="00BE00C7">
            <w:pPr>
              <w:pStyle w:val="OutcomeDescription"/>
              <w:spacing w:before="120" w:after="120"/>
              <w:rPr>
                <w:rFonts w:cs="Arial"/>
                <w:b w:val="0"/>
                <w:lang w:eastAsia="en-NZ"/>
              </w:rPr>
            </w:pPr>
            <w:r w:rsidRPr="00BE00C7">
              <w:rPr>
                <w:rFonts w:cs="Arial"/>
                <w:b w:val="0"/>
                <w:lang w:eastAsia="en-NZ"/>
              </w:rPr>
              <w:t>The kitchen, gardening and maintenance staff are employed by the village with appointed shared time for the care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at Crestwood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Crestwood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electronic authorisation and the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at Crestwood who were self-administering medications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nurse manager (NM)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Crestwood.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Audit:  </w:t>
            </w:r>
          </w:p>
          <w:p w:rsidR="00EB7645" w:rsidRPr="00BE00C7" w:rsidP="00BE00C7">
            <w:pPr>
              <w:pStyle w:val="OutcomeDescription"/>
              <w:spacing w:before="120" w:after="120"/>
              <w:rPr>
                <w:rFonts w:cs="Arial"/>
                <w:b w:val="0"/>
                <w:lang w:eastAsia="en-NZ"/>
              </w:rPr>
            </w:pPr>
            <w:r w:rsidRPr="00BE00C7">
              <w:rPr>
                <w:rFonts w:cs="Arial"/>
                <w:b w:val="0"/>
                <w:lang w:eastAsia="en-NZ"/>
              </w:rPr>
              <w:t>No changes to the medication management system will be required if the proposed reconfiguration of services goes ahead.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services at Crestwood are provided on site by a cook and is in line with recognised nutritional guidelines for older people. The menu follows summer and winter patterns and was reviewed by a qualified dietitian in June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registered with the Auckland Council. A verification audit of the food control plan was undertaken on 13 July 2018. No corrective actions were identified. An ‘A grade’ rating of the food control plan expires 11 January 2020.  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 minutes. Any areas of dissatisfaction were promptly responded to. Residents were seen to be given time to eat their meal in an unhurried fashion and those requiring assistance had this provided. There were enough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Audit:</w:t>
            </w:r>
          </w:p>
          <w:p w:rsidR="00EB7645" w:rsidRPr="00BE00C7" w:rsidP="00BE00C7">
            <w:pPr>
              <w:pStyle w:val="OutcomeDescription"/>
              <w:spacing w:before="120" w:after="120"/>
              <w:rPr>
                <w:rFonts w:cs="Arial"/>
                <w:b w:val="0"/>
                <w:lang w:eastAsia="en-NZ"/>
              </w:rPr>
            </w:pPr>
            <w:r w:rsidRPr="00BE00C7">
              <w:rPr>
                <w:rFonts w:cs="Arial"/>
                <w:b w:val="0"/>
                <w:lang w:eastAsia="en-NZ"/>
              </w:rPr>
              <w:t>No changes to the kitchen or food service will be required if the proposed reconfiguration of services goes ahead.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care provided to residents of Crestwood was consistent with their needs, goals and the plan of care. The attention to meeting a range of resident’s individualised needs was evident.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 A review of the wound management folder identified two wounds that were the result of long-standing skin lesions. No skin tears were evidenced to have occurred at Crestwood in recent months and there were no residents with pressure injuries.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three activities coordinators, all in the process of training to gain qualifications in diversional therapy.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at Crestwood operates seven days a week. A recent family satisfaction survey identified some dissatisfaction with the activities programme being offered. A corrective action was put in place that increased the selection and array of activities being provided. The options also now include opportunities for the residents to go swimming in the village pool, access to the gym and access to the bowling green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reflected residents’ goals, ordinary patterns of life and included normal community activities. Individual, group activities and regular events are offered. Examples included ‘move and groove’, visiting entertainers, quiz sessions, visits by the local kindergarten, knitting and craft groups, shopping trips and daily news updates. The residents are also able to participate in events in the village.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residents’ meetings and minutes indicate residents’ input is sought and responded to.  Residents and family members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at Crestwood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Short term care plans were consistently reviewed for infections, pain, weight loss and progress evaluated as clinically indicated.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existing system will remain in place for the reconfiguration of service but if more frequent waste pickups are required this will be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28 October 2019)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Efforts are made to ensure the environment is hazard free, that residents are safe and independence is promoted. There is adequate lifting and biomedical equipment to safely manage hospital level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They are easy access for walking frames and wheelchairs if required.  Residents have a choice of three internal decked outdoor areas and the main garden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residents confirmed if any repairs or maintenance is required, requests are appropriately actioned and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17 bedrooms with toilet ensuites. Appropriately secured and approved handrails are provided in the toilet/shower areas, and other equipment/accessories are available to promote residents’ independence. Hot water temperature checking is maintained throughout the care unit to ensure it remains within the required limits.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All bedroom doors are wide enough to allow a bed and/or lifting equipment to be moved in and out of the room safely.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 Residents can also use the serviced apartment dining room if they wish.  Activities were undertaken in the large lounge on the day of audit.  As there will be no increase in the resident numbers all areas are adequate to meet the reconfiguration request for dual purpose.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is undertaken on site in a dedicated laundry. Dedicated laundry staff demonstrated a sound knowledge of the laundry processes, dirty/clean flow and handling of soiled linen. Residents interviewed reported the laundry is managed well and their clothes are returned in a timely manner. The clinical quality and risk manager stated that laundry staff hours will be reviewed regularly to ensure they are sufficient to manage hospital level care resident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Chemicals were stored in a lockable cupboard and were in appropriately labelled containers. As there will be no increase in resident numbers the cleaning hours will remain the same.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by the chemical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Ministry of Civil Defence and Emergency Management recommendations for the region are met related to appropriates stocks of water and food.  There are also adequate supplies of blankets, mobile phones, alternative cooking such as gas BBQ if required for use in the event of a civil defence emergency. Stocks sighted meet the requirements for the 41 residents.  A water storage tank is located on the grounds of the complex.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fire evacuation plan was approved by the New Zealand Fire Service in September 2001 and there have been no changes to the footprint since this time.   </w:t>
            </w:r>
          </w:p>
          <w:p w:rsidR="00EB7645" w:rsidRPr="00BE00C7" w:rsidP="00BE00C7">
            <w:pPr>
              <w:pStyle w:val="OutcomeDescription"/>
              <w:spacing w:before="120" w:after="120"/>
              <w:rPr>
                <w:rFonts w:cs="Arial"/>
                <w:b w:val="0"/>
                <w:lang w:eastAsia="en-NZ"/>
              </w:rPr>
            </w:pPr>
            <w:r w:rsidRPr="00BE00C7">
              <w:rPr>
                <w:rFonts w:cs="Arial"/>
                <w:b w:val="0"/>
                <w:lang w:eastAsia="en-NZ"/>
              </w:rPr>
              <w:t>A trial evacuation takes place six-monthly with a copy sent to the New Zealand Fire Service, the most recent being on 22 May 2019. The orientation programme includes fire and security training.  Staff confirmed their awareness of the emergency procedures. No changes are required for the reconfiguration of services.</w:t>
            </w:r>
          </w:p>
          <w:p w:rsidR="00EB7645" w:rsidRPr="00BE00C7" w:rsidP="00BE00C7">
            <w:pPr>
              <w:pStyle w:val="OutcomeDescription"/>
              <w:spacing w:before="120" w:after="120"/>
              <w:rPr>
                <w:rFonts w:cs="Arial"/>
                <w:b w:val="0"/>
                <w:lang w:eastAsia="en-NZ"/>
              </w:rPr>
            </w:pPr>
            <w:r w:rsidRPr="00BE00C7">
              <w:rPr>
                <w:rFonts w:cs="Arial"/>
                <w:b w:val="0"/>
                <w:lang w:eastAsia="en-NZ"/>
              </w:rPr>
              <w:t>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at a predetermined time and there is a night porter who patrols the grounds and checks the security of the buildings seven nights a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four bedroom have ranch slider doors with direct access to the gardens. Heating is provided by ceiling heating and individual electric heaters in residents’ rooms with underfloor heating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Crestwood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The IPC programme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RN from Crestwood is the designated IPC nurse, whose role and responsibilities are defined in a job description. Infection control matters, including surveillance results, are reported monthly to the NM, and tabled at the staff meeting.  An infection control committee meets quarterly, to discuss any infection related concerns. The committee includes the village manager, NM, IPC nurse,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present infection control management programme would require no changes if the planned reconfiguration goes ahead.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ICN and NM review all reported infections. Monthly surveillance data is collated and analysed to identify any trends, possible causative factors and required actions. Results of the surveillance programme are shared with staff via staff meetings and at staff handovers. Infection statistics are entered into the organisations database and benchmarked with the organisations other facilities in addition to other large aged care providers in New Zealand. Results of benchmarking indicate a below average infection rate at Crestwood. Graphs are produced that identify trends for the current year, and comparisons against previous years.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of norovirus at Crestwood in the past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facility is restraint free. The restraint coordinator (nurse manager) provides support and oversight for enabler and restraint management and education in the facility. She demonstrated a sound understanding of the organisation’s policies, procedures and her role and responsibilities should restraint ever be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states that enablers must be the least restrictive and used voluntarily at the resident’s request.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reported that restraint would only be used as a last resort when all alternatives have been explored. This was confirmed in meeting minutes reviewed, during staff interviews, on review of the restraint register and the benchmarking data sighted.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10"/>
        <w:gridCol w:w="1280"/>
        <w:gridCol w:w="4938"/>
        <w:gridCol w:w="2421"/>
        <w:gridCol w:w="23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 documented process which determines service provider levels and skill mix. The current rosters identify that adequate staff are available to meet rest home level care resident needs. This includes registered nurse cover for five morning and five afternoon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There are currently not adequate registered nurses to cover 24 hour, seven day a week duties. The projected roster sighted identifies that this will occur prior to the service commencing.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level of registered nurse cover does not meet the required 24 hour, seven day a week coverage required for hospital level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there is 24 hour, seven day a week registered nurse coverage to meet hospital level care contractual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Metlifecare Limited - Crestwood</w:t>
    </w:r>
    <w:bookmarkEnd w:id="58"/>
    <w:r>
      <w:rPr>
        <w:rFonts w:cs="Arial"/>
        <w:sz w:val="16"/>
        <w:szCs w:val="20"/>
      </w:rPr>
      <w:tab/>
      <w:t xml:space="preserve">Date of Audit: </w:t>
    </w:r>
    <w:bookmarkStart w:id="59" w:name="AuditStartDate1"/>
    <w:r>
      <w:rPr>
        <w:rFonts w:cs="Arial"/>
        <w:sz w:val="16"/>
        <w:szCs w:val="20"/>
      </w:rPr>
      <w:t>27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