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Waihi Senior Citizens Home Incorporated - Hetherington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Waihi Senior Citizens Home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Hetherington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August 2019</w:t>
      </w:r>
      <w:bookmarkEnd w:id="7"/>
      <w:r w:rsidRPr="009418D4">
        <w:rPr>
          <w:rFonts w:cs="Arial"/>
        </w:rPr>
        <w:tab/>
        <w:t xml:space="preserve">End date: </w:t>
      </w:r>
      <w:bookmarkStart w:id="8" w:name="AuditEndDate"/>
      <w:r w:rsidR="00A4268A">
        <w:rPr>
          <w:rFonts w:cs="Arial"/>
        </w:rPr>
        <w:t>2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Hetherington House provides rest home, dementia and hospital level care for up to 50 residents. The service is operated by the Waihi Senior Citizens Home Incorporated Society and managed by a Facility Manager (FM) with support from a long term employed Senior RN. </w:t>
      </w:r>
    </w:p>
    <w:p w:rsidRPr="00A4268A">
      <w:pPr>
        <w:spacing w:before="240" w:line="276" w:lineRule="auto"/>
        <w:rPr>
          <w:rFonts w:eastAsia="Calibri"/>
        </w:rPr>
      </w:pPr>
      <w:r w:rsidRPr="00A4268A">
        <w:rPr>
          <w:rFonts w:eastAsia="Calibri"/>
        </w:rPr>
        <w:t xml:space="preserve">The FM has been in the role for 18 months and is very experienced in managing aged care facilities.  There have been no changes to the scope or size of the services provided since the previous audit. Extensive interior upgrades and refurbishments have occurred along with acquisitions of furniture and chattels.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and a board member, staff, and a general practitioner. All interviewees including residents and their families spoke positively about the care provided.</w:t>
      </w:r>
    </w:p>
    <w:p w:rsidRPr="00A4268A">
      <w:pPr>
        <w:spacing w:before="240" w:line="276" w:lineRule="auto"/>
        <w:rPr>
          <w:rFonts w:eastAsia="Calibri"/>
        </w:rPr>
      </w:pPr>
      <w:r w:rsidRPr="00A4268A">
        <w:rPr>
          <w:rFonts w:eastAsia="Calibri"/>
        </w:rPr>
        <w:t>This audit resulted in two areas requiring improvement. These are related to overdue interRAI assessments and storage of chemicals.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A complaints register is maintained with complaints resolved promptly and effectively. There is one complaint that is not as yet closed out. The complaints management system meets regulatory and legislative requirements and was known by staff, residents and family members. Each of the concerns/complaints received had been managed in a fair and timely manner and was effectively resolved.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strategic/business and quality and risk management plans include the scope, direction, goals, values and mission statement of the organisation.  Monitoring of the services provided to the governing body is regular and effective.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 pre audit review revealed that these reference best practice,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and includes regular individual performance reviews.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 and their 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assesses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is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soiled linen and equipment is well managed. Staff use protective equipment and clothing. Chemicals are stored safely when not in use.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Four restraints and three enablers were in use at the time of audit.  Use of enablers is voluntary for the safety of residents in response to individual requests.  A comprehensive assessment, approval and monitoring process with regular reviews occurs.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1"/>
        <w:gridCol w:w="1280"/>
        <w:gridCol w:w="92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records.  Staff were observed to gain consent for day to day care. The records reviewed of residents in the dementia service evidenced enduring power of attorney (EPOAs) documentation and these were activated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One family member interviewed had a relative in the dementia service and visited regularly at different times of the day. The family member reported that residents were always well supported by staff/ family/whānau and /or representatives.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and friends. Volunteers from the community visit on a regular basis. Family members interviewed stated they felt welcome when they visited and comfortable in their dealings with staff.  Residents and family have access to different lounges, to the outside garden and seating areas located near all service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understood how to raise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complaints have been received over the past year and that actions taken, through to an agreed resolution, are documented and completed within the timeframes. Action plans show any required follow up and improvements have been made where possible. The FM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discussions with staff. The Code is displayed in the main reception area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The facility manager is the designated privacy officer.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through community activities, arranging their own visits to the doctor, and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are incorporated into day to day practice, as is the importance of whānau. The senior registered nurse interviewed reported that there was one resident who affiliated with their Māori culture at the time of audit. There are nine staff who identify as Māori. There are no barriers in supporting residents who are admitted to the facility who identify as Māori.  The Māori cultural policy states all values and beliefs are acknowledged with the support of the Te Whare Tapa Wha model and would then be integrated into a resident’s long-term care plans with input from cultural advisers within the local community as required.  Guidance on tikanga best practice is available and is supported by staff who identify as Māori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spiritual beliefs. The resident satisfaction survey confirmed that individual needs are being met. Family interviewed who had relatives in the dementia service reconfirmed that ethnic, cultural, spiritual values and beliefs were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and enrolled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staff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Policies and procedures are consistently reviewed and the facility manager approves all documents prior to implementation.</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day to day discussions between staff, residents and relatives. One resident interviewed stated that staff ensure that her privacy is maintained at all times when providing support with daily activities of living. Staff were observed maintaining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and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through the Waikato district health board and the contact number was available. Staff interviewed stated that interpreter services were however rarely required due to all residents able to speak English and staff being able to provide interpretation as and when needed. The senior registered nurse interviewed stated that there was good communication with families/whānau and families interviewed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There are residents who have significant sensory impairments which is reflected on the long term care plans reviewed. The care plan review showed interventions and equipment was provided to promote ongoing independence, communication and support.  For example, staff communicated with ‘yes, no’ questions, and use clear slow speech providing time for two residents identified as having hearing loss.  Staff interviewed knew the residents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business plan which is reviewed annually, outlines the purpose, values, scope, direction and goals of the organisation. The documents describe annual and longer term objectives and the associated operational plans. A sample of monthly reports to the board of trustees contained extensive and detailed information, sufficient to monitor the organisations performance. This included the statistics and narrative analysis for incidents and accidents, infections, restraint, bed occupancy, staffing, financial performance, and any known emerging risks or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has extensive experience as a manager and registered nurse in aged care facilities but has not maintained a practicing certificate. This person has been in the role for 18 months and demonstrated knowledge of the sector, regulatory and reporting requirements.  Responsibilities and accountabilities are defined in a job description and individual employment agreement. The manager maintains knowledge of the sector and currency about business and clinical practices by attending DHB forums, gerontology conferences and through on line education which meets and exceeds the ARCC requirement of attending eight hours professional development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agreements and contracts with Waikato DHB and the MoH to deliver care for older people assessed as requiring rest home, dementia, hospital (medical and geriatric), respite, long term support-chronic health conditions (LTS-CHC) and for young people with disabilities.  On the days of audit 49 residents in total were receiving services. These were 16 hospital residents (which included one person with a disability under 65 years of age) 27 rest home residents (including one LTS-CHC person) and six resident’s in the dementia unit. There were no respite or palliative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the senior RN who is experienced in the sector and able to take responsibility carries out duties under delegated authority. During this person’s absence another senior RN steps up to oversee clinical service delivery. Staff reported that these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accidents, infections, complaints, internal audit activities, regular resident, family and staff satisfaction surveys, and monitoring implementation of improvements to address any service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meeting minutes reviewed, (for example, staff, RN, quality and health and safety meeting minutes) showed that essential information is presented. This includes the results of internal audits, trends in incidents and other quality data analysis, new service development or projects. Staff reported their involvement in quality and risk management activities through carrying out internal audits, discussions at meetings and other day to day communications.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Resident and family satisfaction surveys are completed annually. The most recent survey in November 2018 revealed a high level of satisfaction. There were no issues raised that required investigation.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processes for the identification, monitoring, review and reporting of risks and development of mitigation strategies. The manager is familiar with the Health and Safety at Work Act (2015) and there is a nominated health and safety officer who reports on and oversees safe work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monthly by the senior RN who provides a statistical and narrative analysis report to the FM and the Board.   </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They advised there had been one section 31 notification about a missing resident made to the Ministry of Health and DHB since the previous audit. There have been no police investigations, coroner’s inquests, issues based audits or any public health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practicing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Recently employed staff reported that the orientation process prepared them well for their role. Staff records reviewed show documentation of completed orientation and an initial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Staff working in the dementia care area have either completed or are enrolled in the required education. Of the 26 caregivers employed, 11 have completed the dementia unit standards (US 23920-23923) and 12 are progressing toward achievement. The RNs and two ENs are also enrolled to complete these. All other caregivers have achieved The Certificate in Health and Wellbeing to level 3. There are sufficient (five of seven)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Staffing levels are adjusted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and there is 24 hour/seven days a week (24/7) RN coverage in the hospital. Only staff who have completed or are progressing educational achievements in dementia care (US 23920-23923) are rostered for duties in the secure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The administrator maintains the resident register electronically.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Files reviewed contained completed demographic details, assessments and signed admission agreements in accordance with contractual requirements. Service charges comply with contractual requirements. Resident agreements were provided and all were signed and dated in a timely manner, stored appropriately and confidentiality was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‘yellow envelope system’ to facilitate transfer of residents to and from acute care services. There is open communication between services, the resident, the family whānau and GP. The GP interviewed stated that a transfer to the relevant DHB is dependent on whether the resident requires primary, secondary or tertiary services due to the geographical location of this service. A transfer letter is always documented if referred by the GP or a transfer form if an acute admission.  All referrals are documented in the progress records. The family/EPOA are kept well informed by the RN at these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hard copy records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Competencies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with weekly checks and balances being verified.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three-monthly GP review is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only one resident who was self-administering eye drops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and kitchen team and is in line with recognised nutritional guidelines for older people.  The menu follows summer and winter patterns and has been reviewed by a qualified dietitian within the last two years, dated 18 October 2017.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has a food control plan and this was audited by the Hauraki District Council on the 23 May 2019 and expiry will be 23 May 2020 as displayed. Food temperatures, including for high risk items, are monitored appropriately and recorded as part of the plan. All cooks and kitchen assistants have completed safe food handling.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There are two main cooks who cover the week and are supported by kitchen hands. All meals are prepared on site and served directly to the residents in the main dining room. The food is delivered to the dementia service and served up by the staff from the kitchenette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and depression scale and challenging behaviour, as a means to identify any deficits and to inform care planning. The sample of care plans reviewed had an integrated range of resident-related information. All residents have current interRAI assessments except for four which are overdue and six are due in the next month. There are five registered nurses (two are currently on leave) who are competent to complete the required assessments.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the momentum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Examples of short term care plans were observed such as for pyrexia, wound care and/or urinary tract infection (UTI).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 interviewed, verified that medical input is sought in a timely manner and that medical orders are followed with satisfactory care provided.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diversional therapist (DT). The DT has recently changed her hours of employment from Monday to Friday to three days a week Tuesday, Wednesday and Thursday. Currently the DT is the only activities person. A casual member of staff is able to provide cover until another activities staff member is employed. Volunteers regularly support the activities provided to residents. One family member interviewed is orientating to undertake the van outings in the community with assistance of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their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 are involved in evaluating and improving the programme through residents’ meetings and satisfaction surveys. Residents interviewed confirmed they find the programme very interactive and fun also stating that they are supported in individual specific activities of interest they have.</w:t>
            </w:r>
          </w:p>
          <w:p w:rsidR="00EB7645" w:rsidRPr="00BE00C7" w:rsidP="00BE00C7">
            <w:pPr>
              <w:pStyle w:val="OutcomeDescription"/>
              <w:spacing w:before="120" w:after="120"/>
              <w:rPr>
                <w:rFonts w:cs="Arial"/>
                <w:b w:val="0"/>
                <w:lang w:eastAsia="en-NZ"/>
              </w:rPr>
            </w:pPr>
            <w:r w:rsidRPr="00BE00C7">
              <w:rPr>
                <w:rFonts w:cs="Arial"/>
                <w:b w:val="0"/>
                <w:lang w:eastAsia="en-NZ"/>
              </w:rPr>
              <w:t>Staff/volunteers at the facility support the residents in the weekends and in the dementia service during the week days when the DT is not available. Residents in the rest home and hospital services are supported to participate in the weekly Wednesday van outings into the community and the dementia unit residents go out on a Friday afternoon.  The activities programme is planned monthly but displayed weekly in all service areas. The residents are provided with a copy for their individual rooms.  A church service is held every Sunday. Birthdays and special events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The activities for residents from the secure dementia unit are specifically planned to meet the needs and abilities of the six residents living there. There is a 24 hour activities programme in the dementia service which is clearly displayed for family and staff to view. All residents that present with behaviours that are challenging have had a 24-hour activity chart developed as a result of ongoing assessments, monitoring and evaluation to support all staff to be aware of activities and/or interventions that may reduce and minimise the challenging behaviour of the resident at that time. Weekly activities evaluations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three resident cats, goldfish and budgies. A volunteer pet group visit regularly as many residents are from rural lifestyles. The residents are encouraged to continue to look after the pets with guidance from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or senior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weight loss and trialling of restraint.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of their choice. If the need for other non-urgent services are indicated or requested, the GP or RN sends a referral to seek specialist input.  Copies of referrals were sighted in residents’ files, including to a speech language therapist, physiotherapist, diabetic or wound nurse specialists and dietitian.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Cleaning, laundry and kitchen staff have completed training in safe chemical handling. There is an improvement required with regard to labelling of chemicals in standard 1.4.6. An external company is contracted to supply and manage all chemicals and cleaning products and they provide ongoing support and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which staff were observed using.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17 March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more than adequate numbers of accessible bathroom and toilet facilities throughout the facility, including designated staff and visitor toilets. Two of the rest home bedrooms have full ensuite bathrooms and the majority of hospital bedrooms share an ensuite bathroom between two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double bedroom and all other bedrooms are single accommodation. Approval from the two female residents who share a bedroom has been obtained.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wheel chairs and mobility scooters. Staff and residents reported the adequacy of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main dining and lounge areas have been recently refurbished. The area is spacious and within easy walking distance to residents’ rooms.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The laundry staff interviewed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attended training in safe chemical cleaning as confirmed by interview and review of training records. Chemicals and the cleaning trolleys were stored in a lockable cupboard when not in use. An improvement is required with regards to the decanting of cleaning products in to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in September 2016.  A trial evacuation takes place six-monthly with a copy sent to the New Zealand Fire Service, the most recent being on 12 June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onsite fire suppression systems are checked monthly by an appropriately qualified company.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50 residents and the Ministry of Civil Defence and Emergency Management recommendations for the region. The emergency lighting system was being regularly tested by maintenance staff.</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was functioning on audit day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 There have been no security incidents.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doors. Heating is provided by electricity in residents’ rooms and in the communal areas. Areas were warm and well ventilated throughout the audit. Residents and families confirmed the facilities are maintained at a comfortable temperature. </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smoking area for the sole resident who smokes and the organisational smoke free workplace policy is known of and adhered to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Hetherington House implements an infection prevention and control (IPC) programme to minimise the risk of infection to residents, staff and visitors. The programme is guided by a comprehensive and current infection control manual, with input from the GPs, the senior registered nurse and a contracted infection control advisor as required. The infection control programme and manual are reviewed annually. A contracted infection control advisory service manual used by the service is reviewed annually and is a valuable resource manual for all staff.  The programme is appropriate to the size and scope of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infection control coordinator (ICC), whose role and responsibilities are defined in a job description. Infection control matters, including surveillance results, are reported monthly to the senior registered nurse and the facility manager and tabled at the quality/risk committee meeting. This committee includes the senior registered nurse, household staff and care staff.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coordinator has appropriate skills, knowledge and qualifications for the role, and has been in this role since the beginning of 2019. The senior registered nurse interviewed stated that she will support the ICC coordinator as she transitions into this new role.  Both the senior registered nurse and ICC coordinator have undertaken training in infection prevention and control as verified in training records sighted.  Additional support and information are accessed from the infection control team at the DHB, the community laboratory, the GP and public health unit, as required. The ICC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coordinator confirmed the availability of resources to support the programme and any outbreak of an infection. The facility has infection outbreak kits readily available and these are checked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February 2019 and included appropriate referencing. The reference manuals are reviewed annually by the contracted service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ICC. Content of the training is documented and evaluated to ensure it is relevant, current and understood. A record of attendance is maintained.  When an increase in infection incidence has occurred, there is evidence that additional staff education has been provided in response. An example of this occurred when there was an increase in urinary tract infections in November 2018 and education was provided at the staff meetings as part of a corrective action. Staff that are unable to attend staff meetings and/or teaching sessions are required to read the minutes of the meetings and education material provided and sign in acknowledgement that they have done so.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ICC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ICC and reported to the facility manager, quality team and all staff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highlighted short term and long-term care planning to reduce and minimise the risk of infection. Care staff interviewed demonstrated knowledge of residents who have a higher risk of infections and the interventions required. Infection rates are low for the size and nature of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interviewed stated the facility has had no infectious outbreaks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four residents were using restraints and three residents were using enablers, which were the least restrictive option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files reviewed,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is responsible for the approval of the use of restraints and the restraint processes. It was evident from review of restraint review reports, residents’ files and interview with the restraint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this Standard. The restraint coordinator undertakes the initial assessment with involvement and input from the resident’s family/whānau/EPOA. The restraint coordinator demonstrated good knowledge of the process and a family member confirmed their involvement. The general practitioner confirmed that they were involved and informed about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all the residents who were using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how alternatives to restraints are discussed with staff and family members, for example, the use of sensor mats, low-low beds and ‘fall out’ mattresses. When restraints are in use, frequent monitoring occurs to ensure the resident remains safe.  Records of monitoring had the necessary details. Access to advocacy is provided if requested and all processes ensure dignity and privacy are maintained and respected.  The restraint register is kept updated and includes details about the resident, the type of restraint in use, the date of approval and commencement and review periods. The register logs the reasons for ceasing use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monthly quality committee meetings. Families interviewed confirmed their involvement in the evaluation process and their satisfaction with the restraint process. The evaluation covers all requirements of the Standard, including future options to eliminate use, the impact and outcomes achieved, if the policy and procedure was followed and documentation was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monthly quality meeting minutes and audits of restraint practice confirmed these as a comprehensive quality review of all restraint use. This meets the requirements of this Standard. Trends in restraint use are reported to the board, and at the monthly quality and staff meetings. The restraint coordinator considers the overall use and type of restraint in place, whether all alternatives to restraint had been considered, the effectiveness of the restraint in use, the competency of staff and the appropriateness of restraint/enabler education and feedback received from other parties. Any changes to policies, guidelines, education and processes are implemented if indicated. Data reviewed, minutes and interviews with the Snr RN/coordinator confirmed that the use of restraint is kept to a minimum.</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95"/>
        <w:gridCol w:w="1280"/>
        <w:gridCol w:w="5399"/>
        <w:gridCol w:w="2807"/>
        <w:gridCol w:w="14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schedule developed and implemented for completing the interRAI assessments and for updating the care plans six monthly. Four interRAI assessments were overdue at the end of July.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interRAI assessments were overdue at the end of July.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interRAI assessments are kept up to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cleaning products (a urine digester, ‘Powersan’ a cream abrasive and a water and vinegar solution) were being decanted in to containers that had been used for other products. Although the content of the containers was clearly marked with permanent ink, this is not consistent with safe chemical handling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processes for monitoring safe and effective cleaning practices had not identified this as an issue.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cleaning products were being stored in appropriately marked containers.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had not been identified in the most recent cleaning audit (December 2018) and there was no evidence that the cleaning audit due in March this year had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cleaning products are being stored in appropriately marked containers.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monitoring of cleaning processes occurs as scheduled.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Waihi Senior Citizens Home Incorporated - Hetherington House</w:t>
    </w:r>
    <w:bookmarkEnd w:id="58"/>
    <w:r>
      <w:rPr>
        <w:rFonts w:cs="Arial"/>
        <w:sz w:val="16"/>
        <w:szCs w:val="20"/>
      </w:rPr>
      <w:tab/>
      <w:t xml:space="preserve">Date of Audit: </w:t>
    </w:r>
    <w:bookmarkStart w:id="59" w:name="AuditStartDate1"/>
    <w:r>
      <w:rPr>
        <w:rFonts w:cs="Arial"/>
        <w:sz w:val="16"/>
        <w:szCs w:val="20"/>
      </w:rPr>
      <w:t>1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