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Villages of New Zealand (Pakuranga) Limited - Park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Villages of New Zealand (Pakuranga)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July 2019</w:t>
      </w:r>
      <w:bookmarkEnd w:id="7"/>
      <w:r w:rsidRPr="009418D4">
        <w:rPr>
          <w:rFonts w:cs="Arial"/>
        </w:rPr>
        <w:tab/>
        <w:t xml:space="preserve">End date: </w:t>
      </w:r>
      <w:bookmarkStart w:id="8" w:name="AuditEndDate"/>
      <w:r w:rsidR="00A4268A">
        <w:rPr>
          <w:rFonts w:cs="Arial"/>
        </w:rPr>
        <w:t>17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of services for 39 of 40 beds for dual purpose services (rest home and hospital). Room 461 is to remain rest home only. Geriatric and medical services are to be added to the certificate.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Park Rest Home is owned and operated by Real Living Group which owns four facilities. The facility was purpose built as part of  Pakuranga Park Village in 1993 and is privately owned.  The home provides rest home level care to a maximum of 40 occupants. The village manager and the clinical manager were available for this audit and both are experienced in this sector. Only the care facility is covered in this audit. </w:t>
      </w:r>
    </w:p>
    <w:p w:rsidRPr="00A4268A">
      <w:pPr>
        <w:spacing w:before="240" w:line="276" w:lineRule="auto"/>
        <w:rPr>
          <w:rFonts w:eastAsia="Calibri"/>
        </w:rPr>
      </w:pPr>
      <w:r w:rsidRPr="00A4268A">
        <w:rPr>
          <w:rFonts w:eastAsia="Calibri"/>
        </w:rPr>
        <w:t xml:space="preserve">This certification audit and partial provisional audit (to change 39 of the 40 beds to dual purpose beds) was conducted against the Health and Disability Services Standards and the provider’s contract with the district health board. The audit process included the review of policies and procedures, the review of residents’ and staff files, observations, interviews with residents, family members, managers, staff and a general practitioner.  </w:t>
      </w:r>
    </w:p>
    <w:p w:rsidRPr="00A4268A">
      <w:pPr>
        <w:spacing w:before="240" w:line="276" w:lineRule="auto"/>
        <w:rPr>
          <w:rFonts w:eastAsia="Calibri"/>
        </w:rPr>
      </w:pPr>
      <w:r w:rsidRPr="00A4268A">
        <w:rPr>
          <w:rFonts w:eastAsia="Calibri"/>
        </w:rPr>
        <w:t xml:space="preserve">The manager reported there have been no changes to size or scope of the service since the previous audit. </w:t>
      </w:r>
    </w:p>
    <w:p w:rsidRPr="00A4268A">
      <w:pPr>
        <w:spacing w:before="240" w:line="276" w:lineRule="auto"/>
        <w:rPr>
          <w:rFonts w:eastAsia="Calibri"/>
        </w:rPr>
      </w:pPr>
      <w:r w:rsidRPr="00A4268A">
        <w:rPr>
          <w:rFonts w:eastAsia="Calibri"/>
        </w:rPr>
        <w:t xml:space="preserve">There were two areas identified as requiring improvement, one in relation to medication management and one in relation to education for staff working in the kitchen. One additional area requiring improvement was for the partial provisional audit relating to increase in staff coverage.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that are provided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Māori will have their needs met in a manner that respects their cultural values and beliefs. There is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complaints management system is effective. Complaints are resolved promptly and effectively. A complaints register is maintained. Residents and their families were well informed about how to raise concerns. The manager advised there have been no external complaints received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plans include the scope, objectives, values and direction of the organisation. The organisation has well established quality and risk management systems which monitor service performance. This occurs through internal audits, analysing quality data gathered from event reporting such as incidents, restraints and infections and through resident and relative feedback. Where these activities identify that improvements are required, managers and staff determine the best course of action to resolve the matter. Any gaps in service delivery are monitored by re-auditing to test that improvement has occurred.</w:t>
      </w:r>
    </w:p>
    <w:p w:rsidRPr="00A4268A">
      <w:pPr>
        <w:spacing w:before="240" w:line="276" w:lineRule="auto"/>
        <w:rPr>
          <w:rFonts w:eastAsia="Calibri"/>
        </w:rPr>
      </w:pPr>
      <w:r w:rsidRPr="00A4268A">
        <w:rPr>
          <w:rFonts w:eastAsia="Calibri"/>
        </w:rPr>
        <w:t xml:space="preserve">Monitoring of the service provided to the governing body is regular and effective. An experienced village manager oversees the facility and is supported by the clinical manager. </w:t>
      </w:r>
    </w:p>
    <w:p w:rsidRPr="00A4268A">
      <w:pPr>
        <w:spacing w:before="240" w:line="276" w:lineRule="auto"/>
        <w:rPr>
          <w:rFonts w:eastAsia="Calibri"/>
        </w:rPr>
      </w:pPr>
      <w:r w:rsidRPr="00A4268A">
        <w:rPr>
          <w:rFonts w:eastAsia="Calibri"/>
        </w:rPr>
        <w:t xml:space="preserve">All incidents and accidents are reported verbally and in written form. These are reviewed and investigated for cause by the clinical manager who oversees clinical care in the facility. Staff act in an open and frank manner by acknowledging what has occurred and notifying senior staff, families or the GP depending on the nature of the incident as soon as practicable. The clinical manager understands essential notification requirements to agencies such as the Ministry of Health and the DHB. </w:t>
      </w:r>
    </w:p>
    <w:p w:rsidRPr="00A4268A">
      <w:pPr>
        <w:spacing w:before="240" w:line="276" w:lineRule="auto"/>
        <w:rPr>
          <w:rFonts w:eastAsia="Calibri"/>
        </w:rPr>
      </w:pPr>
      <w:r w:rsidRPr="00A4268A">
        <w:rPr>
          <w:rFonts w:eastAsia="Calibri"/>
        </w:rPr>
        <w:t xml:space="preserve">The service recruits and manages staff using good employment practices. There is a dedicated workforce who are supported to carry out their roles by in service training and industry education in the provision of safe and appropriate care, cleaning and laundry services. </w:t>
      </w:r>
    </w:p>
    <w:p w:rsidRPr="00A4268A">
      <w:pPr>
        <w:spacing w:before="240" w:line="276" w:lineRule="auto"/>
        <w:rPr>
          <w:rFonts w:eastAsia="Calibri"/>
        </w:rPr>
      </w:pPr>
      <w:r w:rsidRPr="00A4268A">
        <w:rPr>
          <w:rFonts w:eastAsia="Calibri"/>
        </w:rPr>
        <w:t>The number of registered nurses, care staff and allied staff on duty for each shift meets safe staffing guidelines and the contract requirements for the level of care provided. A total of four registered nurses (RNs) including the clinical manager are employed to oversee clinical care and there is always an RN on in the daytime and on-call after hours.</w:t>
      </w:r>
    </w:p>
    <w:p w:rsidRPr="00A4268A">
      <w:pPr>
        <w:spacing w:before="240" w:line="276" w:lineRule="auto"/>
        <w:rPr>
          <w:rFonts w:eastAsia="Calibri"/>
        </w:rPr>
      </w:pPr>
      <w:r w:rsidRPr="00A4268A">
        <w:rPr>
          <w:rFonts w:eastAsia="Calibri"/>
        </w:rPr>
        <w:t xml:space="preserve">Residents’ information is accurately recorded, securely stored and is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the registered nurses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Nutritional meals, snacks and fluids are provided in line with recognised nutritional guidelines. Special dietary requirements are catered for. Residents verified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Waste and hazardous materials are managed safely. The interior and exterior of the facility is well maintained by a full time employed maintenance person who ensures the buildings and chattels are safe. A current building warrant of fitness was on display. Medical and electrical equipment is tested and serviced regularly. Fire suppression systems are in place and checked as functional by an external contractor. Staff are trained in managing emergencies including attending trial fire evacuations.</w:t>
      </w:r>
    </w:p>
    <w:p w:rsidRPr="00A4268A">
      <w:pPr>
        <w:spacing w:before="240" w:line="276" w:lineRule="auto"/>
        <w:rPr>
          <w:rFonts w:eastAsia="Calibri"/>
        </w:rPr>
      </w:pPr>
      <w:r w:rsidRPr="00A4268A">
        <w:rPr>
          <w:rFonts w:eastAsia="Calibri"/>
        </w:rPr>
        <w:t>Residents’ bedrooms, bathrooms and communal areas used for dining and recreation are spacious and comfortable. Chattels are of a good quality and the furniture provided is suitable for use by older people.</w:t>
      </w:r>
    </w:p>
    <w:p w:rsidRPr="00A4268A">
      <w:pPr>
        <w:spacing w:before="240" w:line="276" w:lineRule="auto"/>
        <w:rPr>
          <w:rFonts w:eastAsia="Calibri"/>
        </w:rPr>
      </w:pPr>
      <w:r w:rsidRPr="00A4268A">
        <w:rPr>
          <w:rFonts w:eastAsia="Calibri"/>
        </w:rPr>
        <w:t>All areas are cleaned daily to a high standard. Laundry services are effective and hygienic.</w:t>
      </w:r>
    </w:p>
    <w:p w:rsidRPr="00A4268A">
      <w:pPr>
        <w:spacing w:before="240" w:line="276" w:lineRule="auto"/>
        <w:rPr>
          <w:rFonts w:eastAsia="Calibri"/>
        </w:rPr>
      </w:pPr>
      <w:r w:rsidRPr="00A4268A">
        <w:rPr>
          <w:rFonts w:eastAsia="Calibri"/>
        </w:rPr>
        <w:t>The home is maintained at a warm and comfortable temperature. All areas have opening doors and windows for ventilation.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residents were using restraints at the time of audit. There was no use of enablers.</w:t>
      </w:r>
    </w:p>
    <w:p w:rsidRPr="00A4268A">
      <w:pPr>
        <w:spacing w:before="240" w:line="276" w:lineRule="auto"/>
        <w:rPr>
          <w:rFonts w:eastAsia="Calibri"/>
        </w:rPr>
      </w:pPr>
      <w:r w:rsidRPr="00A4268A">
        <w:rPr>
          <w:rFonts w:eastAsia="Calibri"/>
        </w:rPr>
        <w:t>Staff demonstrated in depth knowledge and understanding about the requirements for this standard. Safe practice related to restraint is occurring. Effective procedures for assessment, approval, monitoring and regular review of restraints are implemented.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(ICC),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0"/>
        <w:gridCol w:w="1280"/>
        <w:gridCol w:w="93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Park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confirmed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displayed and available in the facility. Interviewed family members and residents were aware of the Advocacy Service, how to access this and their right to have support persons. Interviewed staff provided examples of the involvement of Advocacy Services in relation to residents’ meetings and involvement of residents’ support persons in care planning and care provision.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procedures meet the requirements of this standard, the provider’s contract with the DHB, and Right 10 of the Code. It also contains references to advocacy and the organisation’s quality system, resident’s rights, advocacy and resident/family meetings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complaints register and interview with the manager confirmed there have been no complaints received and managed since the previous audit. There have also been no complaints received from external sources such as the Ministry of Health (MoH) or Health and Disability Commissioner or other agencies.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residents and their families are advised on entry to the facility of the complaint processes and the Code. The residents and relatives interviewed demonstrated an understanding and awareness of complaint processes.  Staff attend regular education on the Code of Rights, including the complaints processes.  Review of residents’ meeting minutes provided evidence of discussion on the Code of Rights and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information provided and during discussion with nursing staff on admission. This was confirmed in general consent forms sighted in reviewed residents’ files. The Code is displayed on notice boards around the facility together with information on advocacy services, how to make a complaint and feedback forms. Representatives from Advocacy Services visit the facility every six months and take part in their six-monthly residents’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their own room.</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having access to participate in community activities and arranging their own visits outside the facility.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demonstrated understanding of the service’s policy on abuse and neglect, including what to do should there be any signs. Education on abuse and neglect was confirmed to occur during orientation and annually. Training documentation was sighted in the staff records that were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Maori health plan in place in relation to the Treaty of Waitangi, Tikanga guidelines and access to Maori advice. Maori residents’ rights to practice their cultural values and beliefs while receiving services is acknowledged and facilitated by the service provider as required. The service acknowledges the importance of whanau/family involvement in the provision of care as reported by interviewed staff.  Guidance on tikanga best practice is available and accessible to staff. There were no residents who identify as Maori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identified on admission and are included in the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and the Code of Conduct. Records of completion of the required training on professional boundaries and Code of conduct were sighted in reviewed staff files.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(e.g., the diabetes nurse) and education of staff. 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Education records were sighted in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staff demonstrating awareness of how to access information as required, for example accessing policies and procedures. Ongoing supervision is provided for staff by the RNs and the clinical manager (CM) and support is sought or provided as required. The local district health board supports the service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There are incident reporting systems in place that are linked to open disclosure. Interviewed family confirmed that they are advised of any incidents and accidents promptly and in an appropriate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health status, were advised in a timely manner about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plan/quality plan is developed and implemented. The business plan outlines the purpose, the mission statement, values and scope of business. Goals and objectives are documented. The plan is realistic, achievable and workable for the size of this service.</w:t>
            </w:r>
          </w:p>
          <w:p w:rsidR="00EB7645" w:rsidRPr="00BE00C7" w:rsidP="00BE00C7">
            <w:pPr>
              <w:pStyle w:val="OutcomeDescription"/>
              <w:spacing w:before="120" w:after="120"/>
              <w:rPr>
                <w:rFonts w:cs="Arial"/>
                <w:b w:val="0"/>
                <w:lang w:eastAsia="en-NZ"/>
              </w:rPr>
            </w:pPr>
            <w:r w:rsidRPr="00BE00C7">
              <w:rPr>
                <w:rFonts w:cs="Arial"/>
                <w:b w:val="0"/>
                <w:lang w:eastAsia="en-NZ"/>
              </w:rPr>
              <w:t>The Park Rest Home is owned and managed by a Trust, the Trustee of which is Villages New Zealand (Pakuranga) Limited. Park Rest Home was opened in 1993 and is licenced for 40 beds (rest home level care). Respite care is provided. A dispensation was approved 24 June 2019 by the Ministry of Health (MoH) to provide hospital level care for one resident; however, the resident has since deceased. The village manager is responsible for the management of the facility and services provided. The village manager reports monthly to the operations manager who reports to the Board of Directors. The day to day operations are overseen by a clinical manager who is a registered nurse (RN) with a current practising certificate.  Staff meetings are held monthly and the monthly meeting form and agenda were reviewed.</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been in the role since August 2018 and has work experience in the aged care sector and attends industry specific training to maintain the skills and knowledge required for the ARCC. The clinical manager oversees the care provided to residents with the assistance of two senior registered nurses who work full time and one registered nurse who works point four and is casual and on RN who is employed as casual for interRAI. The registered nurses oversee the care staff.</w:t>
            </w:r>
          </w:p>
          <w:p w:rsidR="00EB7645" w:rsidRPr="00BE00C7" w:rsidP="00BE00C7">
            <w:pPr>
              <w:pStyle w:val="OutcomeDescription"/>
              <w:spacing w:before="120" w:after="120"/>
              <w:rPr>
                <w:rFonts w:cs="Arial"/>
                <w:b w:val="0"/>
                <w:lang w:eastAsia="en-NZ"/>
              </w:rPr>
            </w:pPr>
            <w:r w:rsidRPr="00BE00C7">
              <w:rPr>
                <w:rFonts w:cs="Arial"/>
                <w:b w:val="0"/>
                <w:lang w:eastAsia="en-NZ"/>
              </w:rPr>
              <w:t>Maximum occupancy is for 40 residents and there were 35 residents on the days of the audit, all rest home level care receiving services under the age residential care contract (ARCC) with the Counties Manukau District Health Board (CMDHB). All residents were over the age of 65 years and had signed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village manager and clinical manager interviewed in regard to the reconfiguration of the service to have 39 dual purpose beds, stated this reconfiguration had been discussed at governance level in anticipation of this audit and approval by HealthCERT. One room only (room 461) is not suitable for hospital level care residents due to design and size of the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village manager is absent the clinical manager is available to cover and is able to carry out all required duties under delegated authority. During absences of the clinical manager, the clinical management is overseen by one of the two senior registered nurses who are experienced in the sector and are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coverage if the village manager when absent remains unchanged. The clinical manger would be available to perform all required duties as required for this residential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(the audit schedule was reviewed), monitoring of outcomes, and clinical incidents including any infections. Quality and risk activities were integrated and co-ordinated.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quality/staff meetings. Relevant corrective actions are developed and implemented to address any shortfalls. In other areas of day to day service delivery, corrective action plans were developed where the need for service improvements were identified and are reported at the quality committee meetings. The meeting minutes confirmed that actions were monitored for implementation and effectiveness before being closed off. A monthly narrative and statistical report on quality and risk matters was confirmed by sighting the minutes of meetings. Minutes from staff meetings showed that discussion and reporting on incidents, infections, safety and restraint matters occurs. All staff interviewed clearly understood the service approach to quality and risk. </w:t>
            </w:r>
          </w:p>
          <w:p w:rsidR="00EB7645" w:rsidRPr="00BE00C7" w:rsidP="00BE00C7">
            <w:pPr>
              <w:pStyle w:val="OutcomeDescription"/>
              <w:spacing w:before="120" w:after="120"/>
              <w:rPr>
                <w:rFonts w:cs="Arial"/>
                <w:b w:val="0"/>
                <w:lang w:eastAsia="en-NZ"/>
              </w:rPr>
            </w:pPr>
            <w:r w:rsidRPr="00BE00C7">
              <w:rPr>
                <w:rFonts w:cs="Arial"/>
                <w:b w:val="0"/>
                <w:lang w:eastAsia="en-NZ"/>
              </w:rPr>
              <w:t>Risk management and occupational health and safety processes were clearly described. The risk management plan was updated annually and identifies all actual and potential business and environmental risks. The sighted hazard register was being maintained and regular environmental inspections were occurring. Residents were being regularly risk assessed using a range of assessment tools including the interRAI assessment tool. The planning and preparedness for emergencies was reviewed.</w:t>
            </w:r>
          </w:p>
          <w:p w:rsidR="00EB7645" w:rsidRPr="00BE00C7" w:rsidP="00BE00C7">
            <w:pPr>
              <w:pStyle w:val="OutcomeDescription"/>
              <w:spacing w:before="120" w:after="120"/>
              <w:rPr>
                <w:rFonts w:cs="Arial"/>
                <w:b w:val="0"/>
                <w:lang w:eastAsia="en-NZ"/>
              </w:rPr>
            </w:pPr>
            <w:r w:rsidRPr="00BE00C7">
              <w:rPr>
                <w:rFonts w:cs="Arial"/>
                <w:b w:val="0"/>
                <w:lang w:eastAsia="en-NZ"/>
              </w:rPr>
              <w:t>Review of policies and procedures confirmed that policy documents were current and cite best practice. The documents are reviewed annually or earlier if required and are controlled in ways to ensure that only the most up to date version is available. Obsolete documents are managed appropriately. A quality system index is maintained, and manuals are available to guide staff. All new documents are reviewed and authorised by the village manager.</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with regular education of health and safety matters and are supported in the workplace to keep themselves free from injury. The clinical manager is familiar with the Health and Safety at Work Act (2015) and has implemented the requirements. There had been no staff injuries that required reporting to Worksafe NZ.</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adverse event reporting system was a planned and co-ordinated process.  Staff document all adverse, unplanned or untoward events on incident forms. These were reported verbally at handover and in the written summary. Incidents are reviewed by the clinical manager who documents follow up actions. A summary of categorised events is submitted to the village manager who reports these to the board monthly.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the sample of records reviewed and by interviews that the GP and staff understand and implement open disclosure practices by acknowledging and notifying events to all relevant parties (for example, relatives and the GP).</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described essential notification reporting requirements including for any pressure injuries. The clinical manager stated there have been no significant events that have required notifications to be made to appropriate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and guidelines for recruitment and staff management comply with legislation and good employment practices. Professional qualifications are validated before commencement of employment. Copies of the RN’s current practising certificates were seen on files. New staff were being recruited according to good employment practices which includes formal interviews, police checking and referee checks. Evidence was sighted in all seven personnel records reviewed. The clinical manager has developed and implemented a schedule (sighted) to ensure all appraisals are completed annually as required by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new staff member engages in a comprehensive orientation programme specific to their role. The programme includes mandatory training and competency assessments in emergency systems. </w:t>
            </w:r>
          </w:p>
          <w:p w:rsidR="00EB7645" w:rsidRPr="00BE00C7" w:rsidP="00BE00C7">
            <w:pPr>
              <w:pStyle w:val="OutcomeDescription"/>
              <w:spacing w:before="120" w:after="120"/>
              <w:rPr>
                <w:rFonts w:cs="Arial"/>
                <w:b w:val="0"/>
                <w:lang w:eastAsia="en-NZ"/>
              </w:rPr>
            </w:pPr>
            <w:r w:rsidRPr="00BE00C7">
              <w:rPr>
                <w:rFonts w:cs="Arial"/>
                <w:b w:val="0"/>
                <w:lang w:eastAsia="en-NZ"/>
              </w:rPr>
              <w:t>Staff learning and development is planned by the clinical manager. Learning and development 2019 was reviewed. In-service sessions on a range of different topics are scheduled over the year and individual attendance and achievements are documented. All staff completed first aid and cardio-pulmonary resuscitation on the 20 February 2019. A running record of training attended and the educational level of each caregiver is recorded. One of the two activities coordinators is a diversional therapist and has completed level 4. All care staff are experienced and have completed a New Zealand Qualification Authority (NZQA) education programme to meet the requirements of the provider’s agreement with the CMDHB. There are sufficient trained and competent registered nurses who are maintaining their annual competency requirements to undertake interRAI assessments. Records reviewed demonstrated completion of the required training.  Staff who are authorised to administer medicines were being competency assessed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four RN’s including the clinical manager employed are certified to complete interRAI assessments and are maintaining their annual competency with this. The second permanent RN is enrolled currently to complete the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Staff will continue to be recruited according to Park Rest Home employment practices which includes formal interviews, police checking and referee checks as applicable. Orientation packs are prepared in readiness by the clinical manager. The education plan reviewed covers all clinical topics required for provision of both rest home and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availability policy describes the service approach to staffing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Observation and review of rosters confirmed adequate cover has been provided with staff replaced in any unplanned absences. All staff have been trained in first aid as per the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The sample of rosters for 2019, and interviews with the clinical manager (who develops the rosters), clinical and care staff, residents and families, confirmed there were sufficient numbers of staff on each duty to meet residents’ needs. RNs and carers said they are offered extra hours when residents’ needs change. The clinical manager works Monday to Friday and there is a registered nurse on each floor 7.30am until 3.30pm (the service operates on two levels with twenty rooms on each floor). On Saturday and Sunday there is only one registered nurse on duty 7.30am to 3.30pm shift. The clinical manager is transitioning to having a registered nurse on the afternoon shifts. There are adequate care staff allocated to cover the number of residents on each shift. A specific staff member is allocated to respond to any village call bells. This still ensures adequate coverage on the care floor and meets the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village manager and the clinical manager interviewed stated that if dual purpose beds are authorised the care staffing level would be increased accordingly and with resident acuity considered. In addition to this, there will be an RN on all shifts which is a requirement for hospital level care residents. An advertisement has already been placed to cover the afternoon shift daily to increase the coverage of registered nurses as needed on all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records sampled for review. Clinical records were current and integrated with general practitioner and allied health service provider records.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an appropriate archiving system.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by the RNs and the clinical manager.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documentation sighted in reviewed files. Family of a resident interviewed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medicines demonstrated good knowledge and had a clear understanding of their roles and responsibilities related to each stage of medicine management. All staff who administer medicines are competent to perform the function they manage. Current medication administration competencies were sighted for all staff who administer medication.</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when medication is received from the pharmacy. All medications sighted were within current use by dates. The service is in the process of changing the medication management system from paper based to electronic system. Staff training for the new system has been scheduled.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controlled drugs stored on site on the days of the audit. Interviewed staff demonstrated knowledge on controlled drugs management and storage requirements and are guided by the medication management policies and procedures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required three-monthly medication review is consistently recorded on the medicine chart by the GP. On the reviewed medication charts, dates were recorded on the commencement and discontinuation of medicines and all requirements for pro re nata (PRN) medicines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in the management of warfarin prescription and administration process.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clinical manager is fully informed in regard to the registered nurses being on duty every shift with hospital level care residents and stated only registered nurses will administer the medications. The clinical manager and registered nurses interviewed are fully informed of the medication responsibilities for any hospital level residents. The current registered nurses have completed medication competencies and senior care staff for medicine checkers.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a six weekly cycle pattern. The service has contracted two dieticians recently.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temperatures, including for high risk items, are monitored appropriately and recorded as part of the food safety plan. The chef has undertaken a safe food handling qualification.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Food allergies are documented and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all kitchen assistants have completed relevant food hygiene training.</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Current food services are appropriate for the planned increase in acuity of residents at hospital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was discussed with the clinical manager. There is a clause in the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pressure risk and interRAI assessment, to identify any deficits and to inform care planning. The sample of care plans reviewed had an integrated range of resident-related information. All residents have current interRAI assessments completed by two trained interRAI registered nurses (RNs)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The GP interviewed, verified that medical input is sought in a timely manner, that medical orders are followed, and care is implemented in a timely manner. Care staff confirmed that care was provided as outlined in the documentation. A range of equipment and resources was available, suited to the level of care provided and in accordance with the residents’ needs. Interviewed residents and families confirmed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and activities assistant who is a diversional therapist (DT) having completed the training for the National Certificate in Diversional Therapy.</w:t>
            </w:r>
          </w:p>
          <w:p w:rsidR="00EB7645" w:rsidRPr="00BE00C7" w:rsidP="00BE00C7">
            <w:pPr>
              <w:pStyle w:val="OutcomeDescription"/>
              <w:spacing w:before="120" w:after="120"/>
              <w:rPr>
                <w:rFonts w:cs="Arial"/>
                <w:b w:val="0"/>
                <w:lang w:eastAsia="en-NZ"/>
              </w:rPr>
            </w:pPr>
            <w:r w:rsidRPr="00BE00C7">
              <w:rPr>
                <w:rFonts w:cs="Arial"/>
                <w:b w:val="0"/>
                <w:lang w:eastAsia="en-NZ"/>
              </w:rPr>
              <w:t>Social assessment and history are conducted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 monthly interRAI and care plan review. A follow up is completed with residents, if changes in activities participation is identified and review implemented to capture the residents’ current abilities and interests.</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 staff. If any change is noted, it is reported to the RNs. The RNs review and document in the progress notes when there is need or changes in residents’ condition and weekly as a minimum.</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occur every six months in conjunction with the six-monthly interRAI reassessments, or as residents’ needs change. Where progress is different from expected, the service responds by initiating changes to the plan of care. Short-term care plans were consistently reviewed, and progress evaluated as clinically indicated for acute infections and wounds in the reviewed files. Unresolved problems were added to the long- term care plans after three weeks. Residents and families/whānau interviewed confirmed involvement in evaluation of progress and any resulting changes. Short term care plans were closed off when the short-term problems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The service has one GP who is contracted to oversee medical care for all residents. If the need for other medical services are indicated or requested, the GP or RN sends a referral to seek specialist input. Copies of referrals were sighted in residents’ files reviewed, including documentation from other specialist services where residents were referred to. The resident and the family/whānau are kept informed of the referral process, as verified by documentation and interviews. Any acute or 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contained clear descriptions about disposal methods for all types of hazardous and domestic waste. These included standards about chemical labelling, the use of protective clothing and equipment and reporting of spills incidents. Sluice rooms were observed to be in a tidy and hygienic condition.  Chemical Material Safety Data sheets were available and readily accessible to staff in a number of locations. The hazard register was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staff training records and interviews with staff who carry out cleaning and laundry duties confirmed that regular training and education on the safe and appropriate handling of chemicals and waste occurs. Visual inspection throughout the facility and observations of staff during both audit days revealed that protective clothing and equipment (for example, gloves, plastic aprons, footwear, and masks) was provided. Additional stores are readily available if and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All chemicals were being stored securely and decanted into clearly labelled containers. The chemical supply company visits each month to check the effectiveness of their products and to support staff with correct handling and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No additional changes will be required with the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was safe and fit for purpose and well maintained. Handrails were installed in corridors, showers and toilets to promote safe mobilisation.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external areas inspected were safe and surfaces with paving were level.  Shaded areas were positioned near the bowling green with appropriate seating for older persons.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of the facility were maintained in very good repair. Medical equipment such as sphygmomanometer, oxygen concentrator, ear syringe, floor and chair scales, thermoscan, charging transformer and other equipment were checked and calibrated annually. A standing/transfer hoist has been purchased suitable for rest home and hospital level care residents and training for staff has been provided. The biomedical equipment performance verification report was reviewed dated 8 April 2019 and next due April 2020. The lift was between the two levels of the rest home was checked on a regular basis and the warrant of fitness was displayed in the lift.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confirmed they knew the processes they should follow if any repairs or maintenance is required. Any request are appropriately actioned by the maintenance personal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expires on 4 April 2020 and is framed and displayed at the entrance to the village and the rest home.</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All equipment, the environment and resources are available in readiness for dual purpose beds being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sufficient numbers of toilets and bathrooms for the number of residents and additional staff and visitors’ toilets. Twenty four bedrooms have attached ensuite bathrooms with shower and toilet, and all bedrooms have hand basins. Sixteen bedrooms share bathrooms between two to three rooms. Inspection of all bathrooms and toilets showed these were in good condition, were disability accessible with easy to clean walls and floor surfaces and were installed with detachable shower heads and electric heaters. Approved handrails were in place to assist residents with poor mobility and to promote independence. Hot water temperatures were monitored monthly and evidenced acceptable temperatures determined by the building regulations 1992 to minimise risk of scalding/burning.  Review of the records for 2019 and hand testing at tap sites reveals temperatures are at or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In preparedness for the reconfiguration a standing/transfer hoist has been purchased. Bathrooms are capable of having a hoist used in them if needed as observed at audit. Upgrading and renovations planned as ongoing maintenance will include modern bathroom fittings and approved handrails.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bedrooms viewed on the two floors wings were spacious and provided space for staff to move freely within their bedrooms safely with plenty of room to accommodate walking aides and other mobility equipment. All residents’ rooms were personalised with furnishings, photos, furniture of their choice and other personal items. There were no bedrooms being shared. All the beds provided were in good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planned reconfiguration for 39 dual purpose beds is supported by the appropriate sized existing rooms. There are four rooms that are larger in size and are appropriate for a higher level care/acuity hospital resident if required. Only room 461 is not appropriate and will stay a rest home level care bed/room.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two floors of the rest home has its own lounge area and dining area and there is one other large communal lounge area. Residents’ can have meals of their choice in the retirement home large dining room. There is a large lounge which is used for functions and/or activities on the upper level of the rest home.  Furniture is appropriate to the setting and residents’ needs. The lounge includes a kitchenette that can be used for functions. Dining rooms and lounges are within easy walking distances to bedrooms. Residents interviewed said they were very happy with the range of spaces available to them. All furniture is safe and suitable for the resident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reconfiguration and needs of hospital level residents are to be further considered and addressed by management when residents are admitted. The two designated dining rooms are adequate currently but for facilitating access of wheelchairs to tables in these areas may prove difficult at times. The numbers of residents however are not increasing. The large communal lounge is available and accessible for dining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dedicated cleaner who has worked at this facility for eleven years. The facility is well maintained and is on visual inspection clean and tidy. The laundry duties constitute part of the caregiver/cleaner’s duties. The laundry is designed to maximise efficient and safe work flows and linen handling while minimising any cross contamination. The organisation conducts regular reviews and internal audits of cleaning and laundry services to ensure these are safe and effective. Where improvements can be made these are implemented. The chemical supplier provides ongoing support and information to staff about safe handling of the products in use and reviews the effectiveness of methods and product use. Current material safety data sheets about each product are located with the chemicals.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current laundry and cleaning services would not be affected by the proposed reconfiguration to have dual purpose beds. The services will be monitored as the number of hospital level residents increases and reviewed accordingly at the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maintaining emergency preparedness and management. The emergency management plan continues to be reviewed and updated to ensure it complies with best known practice and statutory requirements. The emergency resources and equipment are kept by the front entrance to the facility in large locked bins. Emergency processes are known to staff. The bins are fully stocked with good quality and appropriate products and equipment suited for older people rest home and hospital level residents. There was sufficient food, water and personal supplies stored to provide for the maximum number of residents and carers in the event of a power outage and to meet the requirements of the local council. Food stores are inspected and checked off as still fit for consumption regularly by the chef and kitchen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back up emergency lighting in the hallways and a generator would be hired if required. There are back up batteries and two water valves that can be used in an emergency. An uninterrupted power supply (UPS) is provided at this facility.  Agreement also exists with other care facilities in the organisation for transfer of residents if the buildings are uninhabitable. The fire evacuation approval letter from the New Zealand Fire Service (NZFS) reviewed was dated 12 November 2003. The NZFS attends and observes at least one of the six monthly trial fire evacuations each year. The most recent fire drills occurred on 22 May 2019. Outcomes and learning from these exercises are documented and used to improve protocols.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A security guard is employed and covers the facility 24 hours a day, seven days a week.  Sensor lights are installed outside the home. There is an external button at the main entrance for families and/or staff when visiting in the after-hours. There are security cameras throughout the facility. There had been no security issues reported.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are no proposed changes to the emergency, fire and security systems in place. The reconfiguration does not have an impact on current arrangements. There is no increase in capacity of residents for this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home is centrally heated with gas heating in all hallways. It is optional for residents to have an electric wall heater installed in their individual rooms. There were also heat pumps installed for warmth and cooling in the summer in the rest home.  Maintenance staff confirmed that the heating systems were running smoothly. The heaters in each bathroom were functional. The home had sufficient doors and external opening windows for ventilation.  All bedrooms had good sized external opening windows which are designed and installed to be secure. The residents and relatives interviewed confirmed that internal temperatures and ventilation are comfortable during summer and winter months.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No changes are required as all rooms currently have adequate ventilation, light and are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infection prevention and control (IPC) programme to minimizes the risk of infection to residents, staff and visitors. The programme is guided by a comprehensive and current infection control manual, with input from an external infection control consultant.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infection control coordinator (ICC), whose role and responsibilities are defined in a job description. Infection control matters, including surveillance results, are reported monthly to the general manager and the board members, and tabled at the quality/risk committee meeting. This committee includes the ICC, the health and safety officer, and representatives from the nursing team, food services and household management.</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Information about hand hygiene is posted on notice boards throughout the facility. There were no infection outbreaks reported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ICC is well prepared for managing any increased risk of infection with the increased acuity of hospital level residents. Robust systems are in place for managing infection prevention and control at this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has been in this role for eleven months. The ICC has attended to an infection control and prevention training through external providers as verified in training records sighted. Additional support and information are accessed from the infection control team at the DHB, the community laboratory and the GP as required. The ICC has access to residents’ records and diagnostic results to ensure timely treatment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interviewed RNs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last reviewed within the last two years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the ICC and external providers. Content of the training is documented and evaluated to ensure it is relevant, current and understood. A record of attendance is maintained. When an increase in infection incidence has occurred, there is evidence that additional staff education has been provided in response. An example of this occurred when there was an increase in urinary tract infections.</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and advice about remaining in their room if they are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ICC reviews all reported infection,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the previous month and year and this is reported to all staff and the infection control committee. Data is benchmarked externally with the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should they be required. Policy states that enablers are the least restrictive and used voluntarily at the residents’ request. The facility operates a restraint free environment. The restraint coordinator would provide support and oversight for enabler and restraint management if required and the staff interviewed demonstrated a sound understanding of the organisation’s policies, procedures and practice and their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no residents were using restraints and no residents were using enablers. Restraint would only be used as a last resort when all alternatives have been explored. The restraint approval group meeting reflected this. They last met and reviewed policies and procedures at the beginning of this year. Meeting minutes showed that the staff continue to promote a restraint free environment.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11"/>
        <w:gridCol w:w="1280"/>
        <w:gridCol w:w="6934"/>
        <w:gridCol w:w="1820"/>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rosters were made available on the day of the audit and reviewed. There is adequate staff to cover the facility currently. The plan for increasing staff to meet the requirements for hospital level residents was discussed. The village and clinical manager are fully aware that the facility will have to be covered by registered nurses 24 hours a day, seven days a week.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aware that the facility will have to be adequately covered by registered nurses 24 hours a day seven days a week. Additional care staff will also be required to cover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facility is adequately staffed to meet the increased requirements of residents who are assessed as requiring hospital level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reviewed medication charts had current photos for identification and allergies documented. Medication administered was signed for and medicines are stored safely in locked cupboards and the locked trolley in the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The GP prescribes medication and completes three monthly medication reviews. 12 mediation charts were reviewed and two of these were for residents who are on warfarin. Interviewed RNs reported that the GP prescribes warfarin as a verbal order via the phone and the warfarin is administered as a telephone order. An improvement is required to ensure the GP countersigns for the verbal orders given; this was not indicated in the policy. The process to guide staff required clarification in the warfarin administration policy and this was rectified on the days of the audit upon discussion with the clinical manager. The warfarin management policy was reviewed on the days of the audit and will be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verbal phone orders is documented, but the GP was not signing the verbal orders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warfarin verbal phone orders are countersigned by the GP in a timely manner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Aspects of food procurement, production, preparation, storage, transportation, delivery and disposal comply with current legislation and guidelines. A verification audit for food control plan was conducted on 10 June 2019. Recommendations to be considered and addressed were documented and in the process of being implemented. The chef has undertaken safe food handling qualification. Kitchen staff were observed to be practising safe food handling techniques on the days of the audit, such as wearing protective equipment and observing appropriate hand hygiene practices. Interviewed kitchen assistants reported that they have not completed food handling hygiene training and there was no evidence of safe food handling training in the three kitchen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in the kitchen staff training records reviewed to verify that appropriate education had been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training on food safety hygiene for all staff working in the kitchen.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Villages of New Zealand (Pakuranga) Limited - Park Rest Home</w:t>
    </w:r>
    <w:bookmarkEnd w:id="58"/>
    <w:r>
      <w:rPr>
        <w:rFonts w:cs="Arial"/>
        <w:sz w:val="16"/>
        <w:szCs w:val="20"/>
      </w:rPr>
      <w:tab/>
      <w:t xml:space="preserve">Date of Audit: </w:t>
    </w:r>
    <w:bookmarkStart w:id="59" w:name="AuditStartDate1"/>
    <w:r>
      <w:rPr>
        <w:rFonts w:cs="Arial"/>
        <w:sz w:val="16"/>
        <w:szCs w:val="20"/>
      </w:rPr>
      <w:t>16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