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Kensington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Kensington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July 2019</w:t>
      </w:r>
      <w:bookmarkEnd w:id="7"/>
      <w:r w:rsidRPr="009418D4">
        <w:rPr>
          <w:rFonts w:cs="Arial"/>
        </w:rPr>
        <w:tab/>
        <w:t xml:space="preserve">End date: </w:t>
      </w:r>
      <w:bookmarkStart w:id="8" w:name="AuditEndDate"/>
      <w:r w:rsidR="00A4268A">
        <w:rPr>
          <w:rFonts w:cs="Arial"/>
        </w:rPr>
        <w:t>12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Kensington Court provides rest home and hospital level care for up to 81 residents. The service is operated by The Ultimate Care Group Limited and managed by a facility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This audit has resulted in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enabler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showed any required follow up and improvements have been made where possible. The clinical manager (CM)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business plan, which is reviewed annually, outlines the purpose, values, scope, direction and goals of the organisation. The documents described annual and longer-term objectives and the associated operational plans. A sample of monthly reports to head office showed adequate information to monitor performance is reported including occupancy, staffing, training,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interim FM and acting CM who holds relevant qualifications and has been in the role for over five years. Responsibilities and accountabilities are defined in a job description and individual employment agreement. The interim FM was on leave, and the acting CM in her place on the day of the audit, confirmed knowledge of the sector, regulatory and reporting requirements and maintains currency through professional development and the organisation’s management study days.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Nelson Marlborough District Health Board (NMDHB) for respite, complex medical conditions, hospital and rest home care.  There is one Accident Compensation Corporation (ACC) funded resident and sixteen residents who are private paying. Thirty-two residents were receiving services under the contract (21 rest home and 11 hospital residents. There were no residents under the respite or other contracts)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improvement team meetings and staff meetings. Staff reported their involvement in quality and risk management activities through audit activities, attendance at meetings and training sessions. Relevant corrective actions are developed and implemented to address any shortfalls. Resident and family satisfaction surveys are completed annually. The most recent (2018) survey showed meals were sometimes cold. The facility has implemented regular temperature monitoring with evidence in meeting minutes this issue is now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CM described the processes for the identification, monitoring, review and reporting of risks and development of mitigation strategies. She was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head office and staff via meetings.</w:t>
            </w:r>
          </w:p>
          <w:p w:rsidR="00EB7645" w:rsidRPr="00BE00C7" w:rsidP="00BE00C7">
            <w:pPr>
              <w:pStyle w:val="OutcomeDescription"/>
              <w:spacing w:before="120" w:after="120"/>
              <w:rPr>
                <w:rFonts w:cs="Arial"/>
                <w:b w:val="0"/>
                <w:lang w:eastAsia="en-NZ"/>
              </w:rPr>
            </w:pPr>
            <w:r w:rsidRPr="00BE00C7">
              <w:rPr>
                <w:rFonts w:cs="Arial"/>
                <w:b w:val="0"/>
                <w:lang w:eastAsia="en-NZ"/>
              </w:rPr>
              <w:t>The acting CM described essential notification reporting requirements, including for pressure injuries. She advised there have been five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enough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Kensington Court is provided on site by a cook and is in line with recognised nutritional guidelines for older people. The menu follows summer and winter patterns and was reviewed by a qualified dietitian in April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Ministry of Primary Industries (MPI) and registration expires 27 June 2020.</w:t>
            </w:r>
          </w:p>
          <w:p w:rsidR="00EB7645" w:rsidRPr="00BE00C7" w:rsidP="00BE00C7">
            <w:pPr>
              <w:pStyle w:val="OutcomeDescription"/>
              <w:spacing w:before="120" w:after="120"/>
              <w:rPr>
                <w:rFonts w:cs="Arial"/>
                <w:b w:val="0"/>
                <w:lang w:eastAsia="en-NZ"/>
              </w:rPr>
            </w:pPr>
            <w:r w:rsidRPr="00BE00C7">
              <w:rPr>
                <w:rFonts w:cs="Arial"/>
                <w:b w:val="0"/>
                <w:lang w:eastAsia="en-NZ"/>
              </w:rPr>
              <w:t>A verification audit of the food control plan is booked to occur 25 July 2019.</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of Kensington Court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diversional therapists (one casual relief) and an activities co-ordinator,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three/six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is diverse and matches the skills, likes, dislikes and interests identified in assessment data. Activities reflected residents’ goals, ordinary patterns of life and include normal community activities.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residents were observed cutting up vegetables from the garden and making chutney. The products residents make, includes other relishes, pickles, chutneys and marmalades which they sell to raise funds for the activities programme. They have recently purchased a kitchen whizz to help with their preparation and are now saving for a projector to project movies onto a big screen. The residents’ garden club has ‘raised gardens’ that were provided by a local builders supply company. A knitting club also operates, and the knitters make products to go overseas. Other activities that are part of the programme are exercise sessions, visits from schools and preschools, attendance at aged concern meetings, baking sessions, visiting entertainers, quiz sessions and daily news updates. A silver jubilee ball was recently held at Kensington Court to celebrate the facility’s 25-year anniversary and the day prior to audit a mid-winter Christmas dinner was held.  Outings occur weekly in the facility van. A monthly outing occurs for resident requiring the services of a hired mobility van.</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March 2020)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Kensington Court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phone interview with the CSM verified continuation of a previous initiative to reduce the high number of upper respiratory tract infection and antibiotic use at Kensington Court.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one resident was using an enabler, which was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Kensington Court</w:t>
    </w:r>
    <w:bookmarkEnd w:id="58"/>
    <w:r>
      <w:rPr>
        <w:rFonts w:cs="Arial"/>
        <w:sz w:val="16"/>
        <w:szCs w:val="20"/>
      </w:rPr>
      <w:tab/>
      <w:t xml:space="preserve">Date of Audit: </w:t>
    </w:r>
    <w:bookmarkStart w:id="59" w:name="AuditStartDate1"/>
    <w:r>
      <w:rPr>
        <w:rFonts w:cs="Arial"/>
        <w:sz w:val="16"/>
        <w:szCs w:val="20"/>
      </w:rPr>
      <w:t>12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