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Ellerslie Gardens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Ellerslie Gardens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August 2019</w:t>
      </w:r>
      <w:bookmarkEnd w:id="7"/>
      <w:r w:rsidRPr="009418D4">
        <w:rPr>
          <w:rFonts w:cs="Arial"/>
        </w:rPr>
        <w:tab/>
        <w:t xml:space="preserve">End date: </w:t>
      </w:r>
      <w:bookmarkStart w:id="8" w:name="AuditEndDate"/>
      <w:r w:rsidR="00A4268A">
        <w:rPr>
          <w:rFonts w:cs="Arial"/>
        </w:rPr>
        <w:t>16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A reconfiguration was requested 23 May 2019 to reduce capacity from 97 to 87 beds by changing 10 double rooms to single rooms. A letter dated 28 May 2019 confirms the reversal of the request and bed capacity was changed back to 97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Ellerslie Gardens Lifecare provides rest home and hospital level care for up to 97 residents. The service is operated by Heritage Lifecare Limited and managed by a care home manager. The care home manager is supported by the clinical services manager. Residents and staff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members, managers, staff, contracted allied health providers and a general medical practitioner.</w:t>
      </w:r>
    </w:p>
    <w:p w:rsidRPr="00A4268A">
      <w:pPr>
        <w:spacing w:before="240" w:line="276" w:lineRule="auto"/>
        <w:rPr>
          <w:rFonts w:eastAsia="Calibri"/>
        </w:rPr>
      </w:pPr>
      <w:r w:rsidRPr="00A4268A">
        <w:rPr>
          <w:rFonts w:eastAsia="Calibri"/>
        </w:rPr>
        <w:t>A reconfiguration was requested on the 23 May 2019 to reduce 10 double rooms to 10 single rooms reducing capacity to 87 beds. However a letter dated 28 May 2019 confirmed the reversal of this request and bed capacity was changed to 97 beds.</w:t>
      </w:r>
    </w:p>
    <w:p w:rsidRPr="00A4268A">
      <w:pPr>
        <w:spacing w:before="240" w:line="276" w:lineRule="auto"/>
        <w:rPr>
          <w:rFonts w:eastAsia="Calibri"/>
        </w:rPr>
      </w:pPr>
      <w:r w:rsidRPr="00A4268A">
        <w:rPr>
          <w:rFonts w:eastAsia="Calibri"/>
        </w:rPr>
        <w:t>There were no areas identified for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interacted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efficiently by the care home manager. Compliments are shared with the staff. There is one external enquiry which has not yet been closed out.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scope, direction, goals, values and beliefs of the organisation. Monitoring of the services provided to the governing body was regular and effective. An experienced and suitably qualified person manages the facility.</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are involved and feedback is sought from residents and families/whānau. Adverse events are documented with corrective actions implemented. Actual and potential risks, including health and safety risks, are identified and mitigated. Policies and procedures support service delivery and were current and reviewed regularly.</w:t>
      </w:r>
    </w:p>
    <w:p w:rsidRPr="00A4268A">
      <w:pPr>
        <w:spacing w:before="240" w:line="276" w:lineRule="auto"/>
        <w:rPr>
          <w:rFonts w:eastAsia="Calibri"/>
        </w:rPr>
      </w:pPr>
      <w:r w:rsidRPr="00A4268A">
        <w:rPr>
          <w:rFonts w:eastAsia="Calibri"/>
        </w:rPr>
        <w:t>The appointment, orientation and management of staff is managed effectively. A systematic approach to identify and deliver ongoing training supports safe service delivery and included annual staff individual performance review. Staffing levels and skill mix have recently been reviewed and a newly implemented roster system has been commenced.</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was a current building warrant of fitness. Electrical equipment is tested as required. Communal and individual spaces are maintained at a comfortable temperature. External areas are accessible, safe and provide shade and seating. The gardens and grounds are well maintained.</w:t>
      </w:r>
    </w:p>
    <w:p w:rsidRPr="00A4268A">
      <w:pPr>
        <w:spacing w:before="240" w:line="276" w:lineRule="auto"/>
        <w:rPr>
          <w:rFonts w:eastAsia="Calibri"/>
        </w:rPr>
      </w:pPr>
      <w:r w:rsidRPr="00A4268A">
        <w:rPr>
          <w:rFonts w:eastAsia="Calibri"/>
        </w:rPr>
        <w:t>Waste and hazardous substances are well managed. Staff use personal protective equipment and resources. Chemicals, soiled linen and equipment are safely stored. Cleaning and laundry are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Two enablers and two types of restraint are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is led by an experienced and trained infection control coordinator who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69"/>
        <w:gridCol w:w="1280"/>
        <w:gridCol w:w="90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Ellerslie Gardens Lifecare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a support person present.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and concerns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43 complaints had been received from 16 July 2018 to 29 July 2019 and that actions taken through to an agreed solution are clearly documented and completed within the required timeframes.  All complaints are effectively closed out. The complaints register is maintained electronically by the care home manager. Staff education is provided on complaints management and all staff interviewed confirmed a sound knowledge and understanding of the complaint process and what actions are required. There is one coroner’s case which has been open for four years and all information and any follow-up is filed appropriately and is maintained confidentially by the care home manager.  There are no complaints with the Health and Disability Commissioner (HDC). Many letters and cards are received with compliments from families/whānau and residents and these are displayed for staff to read.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being made aware of the Code and the Nationwide Health and Disability Advocacy Service (Advocacy Service) as part of the admission information provided, in discussion with staff and at residents meetings. The Code is displayed in communal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Staff were observed to maintain privacy throughout the audit.  Six couples share a double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attending community activities, arranging their own visits to the doctor and participating in clubs of their choosing.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Guidance on tikanga best practice is available and is supported by staff who identify as Māori in the facility.  Māori residents and their whānau interviewed reported that staff acknowledged and respected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The resident satisfaction survey confirmed that individual needs are being met. The service has many different ethnicities as residents and staff population reflected this as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The induction process for staff includes education related to professional boundaries, expected behaviours and the Code of Conduct.  </w:t>
            </w:r>
          </w:p>
          <w:p w:rsidR="00EB7645" w:rsidRPr="00BE00C7" w:rsidP="00BE00C7">
            <w:pPr>
              <w:pStyle w:val="OutcomeDescription"/>
              <w:spacing w:before="120" w:after="120"/>
              <w:rPr>
                <w:rFonts w:cs="Arial"/>
                <w:b w:val="0"/>
                <w:lang w:eastAsia="en-NZ"/>
              </w:rPr>
            </w:pPr>
            <w:r w:rsidRPr="00BE00C7">
              <w:rPr>
                <w:rFonts w:cs="Arial"/>
                <w:b w:val="0"/>
                <w:lang w:eastAsia="en-NZ"/>
              </w:rPr>
              <w:t>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the palliative care team, diabetes nurse specialist, wound care specialist,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RNs are interRAI trained and the remaining three new RN’s are in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utilises online education for RN’s and staff education included identified case studies relevant to current residents that includes best practice processes. </w:t>
            </w:r>
          </w:p>
          <w:p w:rsidR="00EB7645" w:rsidRPr="00BE00C7" w:rsidP="00BE00C7">
            <w:pPr>
              <w:pStyle w:val="OutcomeDescription"/>
              <w:spacing w:before="120" w:after="120"/>
              <w:rPr>
                <w:rFonts w:cs="Arial"/>
                <w:b w:val="0"/>
                <w:lang w:eastAsia="en-NZ"/>
              </w:rPr>
            </w:pPr>
            <w:r w:rsidRPr="00BE00C7">
              <w:rPr>
                <w:rFonts w:cs="Arial"/>
                <w:b w:val="0"/>
                <w:lang w:eastAsia="en-NZ"/>
              </w:rPr>
              <w:t>‘Tool-box’ talks are regular and include early identification for emerging issues such as blanching of the skin for pressure injuries.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staff able to provide interpretation as and when needed as the resident ethnic population is reflected in current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 which is reviewed annually outlines the values, philosophy, scope, direction and goals of the organisation. The document described annual and longer term objectives and the associated operational plans. The 2019/2020 business plan reviewed outlines service specific goals to achieve. A sample of quarterly reports to the directors showed adequate information to monitor performance is reported including financial performance, emerging risks and any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an experienced care home manager (FM) who holds relevant management and registered nurse qualifications and has been covering the service for six years in this role. Responsibilities and accountabilities are defined in a job description and individual employment agreement. The FM confirmed knowledge of the sector, regulatory and reporting requirements and maintains currency by attending study days at the DHB and training provided by Heritage Lifecare Limited HLL. The clinical services manager (CM) commenced at this facility and role in 2018. The clinical quality support RN was present for this audit in an advisory and supportive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district health board for hospital services (medical and geriatric), rest home, respite care, under 65 years younger people with a disability (YPD) and a long term chronic health (LTCH) contract.  On the day of audit 81 residents were receiving services under the contract; 35 rest home, 43 hospital; two (YPD) rest home level, nil respite and one long term chronic health care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services manager is able to cover as required in the absence of the FM and is qualified to cover these duties under delegated authority with support from the clinical quality support nurse and the regional operations manager as required. The clinical services manager can cover and take responsibility for any clinical issues that may arise. The Heritage Lifecare Limited (HLL) clinical quality support registered nurse for this region was present at this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(HLL) has a planned quality and risk system and plan dated March 2018 to March 2020 that reflects the principles of continuous quality improvement. This includes the management of accidents and complaints, audit activities, health and safety, resident satisfaction surveys, monitoring of outcomes, clinical incidents including infections and pressure injuries. The care home manager ensures the goals set for the service are reported on in regard to progress against the set goals in their weekly care home manager’s report. An education plan and staff training record spread sheet was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governance meetings, monthly integrated meetings and staff meetings. Staff interviewed reported their involvement in quality and risk management through audit activities, weekly memos and their regular staff meetings. The 2019 audit schedule was available and reviewed. Relevant corrective actions are developed and implemented to address any shortfalls. Resident and family satisfaction surveys are completed at least annually. </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references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This is completed at support office.</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described the processes for the identification, monitoring, review and reporting of risks and development of mitigation strategies. The care home manager is familiar with the Health and Safety at Work Act (2015) and has implemented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The incident/accident is also recorded in the progress records, mentioned at handover and if needed the care plan would be updated. All serious incidents/accidents are reported to the RN on duty before the end of the shift. There are policies and guidelines for incident/accident management to guide staff which provides useful information on the response to different types of events including falls, abuse, infections, damage to property/equipment security and health and safety issues. A sample of incident forms reviewed showed these were fully completed, incidents were investigated, action plans developed and actions followed up in a timely manner. Adverse event data is analysed and reported to management. An event log is maintained by the care home manager.  Falls events are reported to the DHB for a falls programme in place.</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described essential notification reporting requirements including pressure injuries. There have been 10 section 31 notices since October 2018 until 15 August 2019 (the date of this audit) reported to support office. The care home manager sends the Section 31 notices to the quality team at support office and then they are forwarded to the appropriate agency. These are also reflected and included on the clinical indicators reported monthly by the care home manager including, unintentional weight loss, falls with and without injury, skin tears, behavioural incidents and or medication errors, property loss and security issues.  A summary which is loaded electronically onto the ‘eCase’ system and the statistics documented are forwarded to support office. The incident forms are filed in the individual residents’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included referee checks, police vetting and validation of qualifications and practising certificates (APCS) where required.  Qualifications of trained staff and allied health professionals including the registered nurses, general practitioners, one nurse practitioner, two enrolled nurse, physiotherapist, pharmacists, dietitian, podiatrist and the pharmacy licence to operate are reviewed annually.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Job descriptions were sighted for each staff member depending on the role they undertake. Staff records reviewed showed documentation of completed orientation, a verbal review following orientation and a performance review after one year. A schedule was reviewed for completing the required annual staff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annually including mandatory requirements. Care staff (44) in total have either completed a New Zealand Qualification Authority education programme to meet the requirements of the provider’s agreement with the DHB. There are thirteen registered nurses (including the clinical services manager) eight of whom are currently maintaining their annual competency requirements to undertake interRAI assessments. There are two registered nurse who are booked to complete the interRAI training. The (HLL) clinical quality support nurse is also competent in interRAI and is able to provided support and advice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allocation of staff/duty rosters policy to guide facility and clinical services managers. An electronic tool based on the indicators for safe staffing is used by the FM. The rosters reviewed cover 24 hours a day, seven days a week (24/7). The facility adjusts staffing levels to meet the changing needs of residents. An after-hours on call system is in place and staff interviewed reported that good access to advice is available when needed. Care staff interviewed in a group reported there were adequate staff available and that team-work was encouraged. Residents and family members interviewed supported this. Staff are replaced in any unplanned absence. At least one staff member on duty has a current first aid certificate and there is 24/7 RN coverage at all times. The service is covered and well supported with the FM working Monday to Friday 8am until 5pm and the CM working Monday to Friday 8am to 5pm.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general practitioner (GP) and family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they were satisfied with the admission process and the information that had been made available to them on admission.  Files reviewed contained completed demographic details, assessments and signed admission agreements in accordance with contractual requirements. Service charges comply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documents details on a paper transfer form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family have been kept well informed and all relevant information was included.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were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monthly and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electronic details. The required three-monthly GP review was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who were self-administering medications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 on the electronic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chef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local council and expires 11 Dec 2019. Food temperatures, including for high 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 was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w:t>
            </w:r>
          </w:p>
          <w:p w:rsidR="00EB7645" w:rsidRPr="00BE00C7" w:rsidP="00BE00C7">
            <w:pPr>
              <w:pStyle w:val="OutcomeDescription"/>
              <w:spacing w:before="120" w:after="120"/>
              <w:rPr>
                <w:rFonts w:cs="Arial"/>
                <w:b w:val="0"/>
                <w:lang w:eastAsia="en-NZ"/>
              </w:rPr>
            </w:pPr>
            <w:r w:rsidRPr="00BE00C7">
              <w:rPr>
                <w:rFonts w:cs="Arial"/>
                <w:b w:val="0"/>
                <w:lang w:eastAsia="en-NZ"/>
              </w:rPr>
              <w:t>Examples of this occurring were discussed and related documentation sighted.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pain scale, falls risk, skin integrity, nutritional screening and continence assessment, as a means to identify any deficits and to inform care planning. The sample of care plans reviewed had an integrated range of resident-related information.  All residents have current interRAI assessments completed by one of eight trained interRAI assessors on site.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in handover as observed during the audit.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delivered according to instructions. </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activities co-ordinators. 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monthly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included normal community activities. Individual, group activities and regular events are offered.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are involved in evaluating and improving the programme through residents’ meetings and satisfaction surveys. Residents interviewed confirmed they find the programme varied and interesting.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RN.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infections, wounds, continence, behaviour and mobility.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medical and diabetes consultants.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A spill kit was available.</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 There was evidence of a large clean out of order stored equipment awaiting collection by a contracted waste management contractor for recycling and this was moved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10 March 2020) was publicly displayed.</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were in place to ensure the residents’ physical environment and facilities were fit for their purpose and maintained.  Handrails are in place in the hallways. The building is all on one level. There are safe level pathways around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testing and tagging of electrical equipment and calibration of biochemical equipment was current as confirmed in documentation reviewed, interviews with maintenance personnel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all the resident group and setting. The gardens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Residents confirmed and were observed demonstrating they know the processes they should follow if any repairs or maintenance is required, any requests are appropriately actioned and that they are pleased with the environment. The facility is accessible to meet the equipment and mobility needs of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divided into six wings. Twenty four rooms have full ensuite bathrooms.  Eighteen rooms have their own toilet and hand basins. All other individual rooms have a hand basin. All other toilets and showers are in close proximity to the residents’ rooms in all wings where needed. Appropriately secured and approved handrails are provided in all bathrooms and other equipment and accessories are available to promote residents’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Bedrooms provided are single or double accommodation. There are nine generous sized double rooms in total. Where rooms are shared approval has been sought. Each resident room and all service areas have a call bell system in place. All rooms were personalised with furnishings, photographs and other personal items being displayed.  In all service areas visited there was adequate space to store total mobility scooters wheel chairs and walkers.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Furniture sighted was appropriate to the setting and residents’ needs. There is one large dining area and lounge central to the facility which is used as the main activities room. There is a separate dining lounge area in wing two which accommodates mostly hospital level care residents. There is a small lounge in wing six which can be utilised as a family/whānau lounge or for private conversations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laundry is undertaken onsite with a separate laundry being available. The staff interviewed are fully informed of their respective duties and have been in this role for many years. The staff demonstrated a sound knowledge of the laundry processes, dirty/clean flow and the handling of any soiled linen. Residents interviewed reported the laundry is managed well and personal clothing is returned in a timely manner. Chemicals are stored in a locked cupboard in close proximity to the laundry and kitchen and were clearly labelled. A contracted service provider provides all chemical training for kitchen, laundry and cleaning staff. Training was verified in the training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The cleaners store their trolley appropriately in the locked sluice room when not in use. A refillable chemical system is in place. Protective equipment and resources are provided with good stores available when needed. Two cleaners work each day seven days a week and one laundry person is delegated seven days a week. Care staff assist as needed.</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and temperature monitoring is managed effectively in collaboration with the maintenance staff and contracted service providers.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for emergency planning, preparation and response are displayed and known to staff. Disaster and civil defence guides direct the facility in their preparation for disasters and describe the procedures to be followed in the event of a fire or other emergency.  The current fire evacuation plan was approved by the New Zealand Fire Service 5 November 2013. A trial evacuation takes place six monthly with an outcome copy sent to the fire service, the most recent being on 19 June 2019. The orientation programme includes fire and security training. Staff interviewed confirmed awareness of the emergency procedures for all groups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water, food, blankets, radios, torches and gas barbecues were sighted and meet the requirements for the 81 residents and for the local council in this region. Portable water and food is available for all emergencies. Water storage including a 2000 gallon tank is available. Emergency lighting is available and regular testing occurs. A generator would be hired if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hot water supplies to the wings. The hot water is checked and monitored at the beginning of each month and recorded electronically by maintenance staff. One of whom works fulltime and the other part-time but both share the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is working in partnership and is linked with the DHB emergency planning group. Training is provided to staff in relation to health and safety including emergencies, moving and handling and hazard training and this was sighted on the education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call bell system is audited regularly and residents stated their calls to summon assistance are responded to by staff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with a contracted security company of choice and staff are also responsible for the doors and windows on the afternoon and night shifts. Security cameras have been installed for approximately five years and signage was sighted. There is a bell for visitors and staff at the main entrance for the after-hours.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Heat pumps have been installed in the communal areas and electric wall mounted heaters are in all individual residents’ rooms. Rooms have natural light, opening external windows. All service areas were warm and maintained at an even temperature. This was confirmed by the residents and families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(IPC) programme to minimise the risk of infection to residents, staff and visitors. The programme is guided by a comprehensive and current infection control manual, with input from the HLL quality team. The infection control programme and manual are reviewed annually and evaluated three monthly.</w:t>
            </w:r>
          </w:p>
          <w:p w:rsidR="00EB7645" w:rsidRPr="00BE00C7" w:rsidP="00BE00C7">
            <w:pPr>
              <w:pStyle w:val="OutcomeDescription"/>
              <w:spacing w:before="120" w:after="120"/>
              <w:rPr>
                <w:rFonts w:cs="Arial"/>
                <w:b w:val="0"/>
                <w:lang w:eastAsia="en-NZ"/>
              </w:rPr>
            </w:pPr>
            <w:r w:rsidRPr="00BE00C7">
              <w:rPr>
                <w:rFonts w:cs="Arial"/>
                <w:b w:val="0"/>
                <w:lang w:eastAsia="en-NZ"/>
              </w:rPr>
              <w:t>A registered nurse is the designated IPC coordinator, whose role and responsibilities are defined in a job description. Infection control matters, including surveillance results, are reported monthly to the clinical services manager, and tabled at the quality committee meeting. This committee includes the clinical services manager, IPC coordinator and unit coordinators. The committee reports to the care home manager.</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She has attended relevant study days, as verified in training records sighted.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 There have been no infection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reflected the requirements of the infection prevention and control standard and current accepted good practice. Policies were reviewed two yearly and included appropriate referencing.</w:t>
            </w:r>
          </w:p>
          <w:p w:rsidR="00EB7645" w:rsidRPr="00BE00C7" w:rsidP="00BE00C7">
            <w:pPr>
              <w:pStyle w:val="OutcomeDescription"/>
              <w:spacing w:before="120" w:after="120"/>
              <w:rPr>
                <w:rFonts w:cs="Arial"/>
                <w:b w:val="0"/>
                <w:lang w:eastAsia="en-NZ"/>
              </w:rPr>
            </w:pPr>
            <w:r w:rsidRPr="00BE00C7">
              <w:rPr>
                <w:rFonts w:cs="Arial"/>
                <w:b w:val="0"/>
                <w:lang w:eastAsia="en-NZ"/>
              </w:rPr>
              <w:t>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clinical services manager, quality/IPC committee and are displayed on the nurses’ station notice boards. Data is benchmarked externally within the HLL group using an electronic quality management system (eCase). This data has been collated by the Quality Manager and is reported through the senior management team to the GM and board of HLL.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 and provide guidance on the safe use of both restraints and enablers. The restraint coordinator was available on the day of audit and provides support and oversight for enabler and restraint management in the facility. The registered nurse restraint coordinator interviewed demonstrated a sound understanding of the organisation’s policies, procedures and practice and the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two enablers were in use and two restraints. Enablers were the least restrictive and used voluntarily at the residents’ request. A similar process is followed for the use of enablers as is used for restraints.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This was evident on review of the restraint approval group minutes, records reviewed and from interview with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is responsible for the approval of the use of restraints and the restraint processes. There are clear lines of accountability, all restraints have been approved and there was evidence that the overall use of restraint is being monitored and analysed. Evidence of family/whānau involvement in the decision making was on record in each case. Use of a restraint or an enabler is part of the plan of care for the individual resident involved. The approval group meets six monthly to discuss the requirements of restraint monitoring and quality review and the needs of the resident and whether the restraint/enabler is meeting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for the use of restraint were documented and included all requirements of the Standard. The RN undertakes the initial assessment with the restraint coordinator’s involvement and input from the resident’s family/whānau. The restraint coordinator interviewed described the documented process. Families confirmed their involvement. The GP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 is actively minimised and the restraint coordinator interviewed described how alternatives to restraints are discussed with staff and family members. When restraints are in use frequent monitoring occurs to ensure the resident remains safe. Records of monitoring had the necessary details. Access to advocacy is provided if requested and all processes ensure dignity and privacy are maintained and respected.</w:t>
            </w:r>
          </w:p>
          <w:p w:rsidR="00EB7645" w:rsidRPr="00BE00C7" w:rsidP="00BE00C7">
            <w:pPr>
              <w:pStyle w:val="OutcomeDescription"/>
              <w:spacing w:before="120" w:after="120"/>
              <w:rPr>
                <w:rFonts w:cs="Arial"/>
                <w:b w:val="0"/>
                <w:lang w:eastAsia="en-NZ"/>
              </w:rPr>
            </w:pPr>
            <w:r w:rsidRPr="00BE00C7">
              <w:rPr>
                <w:rFonts w:cs="Arial"/>
                <w:b w:val="0"/>
                <w:lang w:eastAsia="en-NZ"/>
              </w:rPr>
              <w:t>A separate restraint register is maintained, updated every month and reviewed at each restraint approval group meeting. The register was reviewed and contained all residents currently using a restraint and sufficient information to provide an auditable record.</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appropriate training and this was evidenced in the staff training records reviewed.  Restraint minimisation and supporting people with challenging behaviours were also discussed. Staff interviewed understood that the use of restraint is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residents’ records showed that the individual use of restraints is reviewed and evaluated during care plan and interRAI reviews, six monthly restraint evaluations and at the restraint approval group meetings. Families interviewed confirmed involvement in the evaluation process and their satisfaction with the restraint process. The evaluation covers all requirements of the Standard including future options to eliminate use, the impact and outcomes achieved and if the policy and procedure was followed and documentation was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committee undertakes a six monthly review of all restraint use which includes the requirements of the standard. Six monthly restraint meetings and reports are completed and individual use of restraint use is reported to the quality and staff meetings. Minutes of meetings confirmed this includes analysis and evaluation of the amount of restraint use in the facility, whether all alternatives to restraint have been considered, the effectiveness of the restraint in use, the competency of staff and the appropriateness of restraint/enabler education and feedback from the doctor, staff and families. A six monthly internal audit as per the audit schedule reviewed is carried out and also informs these meetings. Any changes to policies, guidelines, education and processes are implemented from the support office if indicated. Restraint is minimised at this facility.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Ellerslie Gardens Lifecare</w:t>
    </w:r>
    <w:bookmarkEnd w:id="58"/>
    <w:r>
      <w:rPr>
        <w:rFonts w:cs="Arial"/>
        <w:sz w:val="16"/>
        <w:szCs w:val="20"/>
      </w:rPr>
      <w:tab/>
      <w:t xml:space="preserve">Date of Audit: </w:t>
    </w:r>
    <w:bookmarkStart w:id="59" w:name="AuditStartDate1"/>
    <w:r>
      <w:rPr>
        <w:rFonts w:cs="Arial"/>
        <w:sz w:val="16"/>
        <w:szCs w:val="20"/>
      </w:rPr>
      <w:t>15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