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Dutch Village Trust - Ons Dorp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Dutch Village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Ons Dorp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September 2019</w:t>
      </w:r>
      <w:bookmarkEnd w:id="7"/>
      <w:r w:rsidRPr="009418D4">
        <w:rPr>
          <w:rFonts w:cs="Arial"/>
        </w:rPr>
        <w:tab/>
        <w:t xml:space="preserve">End date: </w:t>
      </w:r>
      <w:bookmarkStart w:id="8" w:name="AuditEndDate"/>
      <w:r w:rsidR="00A4268A">
        <w:rPr>
          <w:rFonts w:cs="Arial"/>
        </w:rPr>
        <w:t>2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Ons Dorp Care Centre provides rest home, respite and hospital level care for up to 45 residents. On the day of the audit there were 45 residents residing at the facility.</w:t>
      </w:r>
    </w:p>
    <w:p w:rsidRPr="00A4268A">
      <w:pPr>
        <w:spacing w:before="240" w:line="276" w:lineRule="auto"/>
        <w:rPr>
          <w:rFonts w:eastAsia="Calibri"/>
        </w:rPr>
      </w:pPr>
      <w:r w:rsidRPr="00A4268A">
        <w:rPr>
          <w:rFonts w:eastAsia="Calibri"/>
        </w:rPr>
        <w:t>This surveillance audit was conducted against the relevant Health and Disability Services Standards and the provider’s contract with the DHB. The audit process included review of policies and procedures, review of resident and staff files, observations and interviews with family, residents, management, and general practitioner and clinical and non-clinical staff.</w:t>
      </w:r>
    </w:p>
    <w:p w:rsidRPr="00A4268A">
      <w:pPr>
        <w:spacing w:before="240" w:line="276" w:lineRule="auto"/>
        <w:rPr>
          <w:rFonts w:eastAsia="Calibri"/>
        </w:rPr>
      </w:pPr>
      <w:r w:rsidRPr="00A4268A">
        <w:rPr>
          <w:rFonts w:eastAsia="Calibri"/>
        </w:rPr>
        <w:t>There are three areas identified as requiring improvement at this surveillance audit relating to complaints management, human resource management and interRAI and care plan assessment timeframes.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Staff, family and residents are informed of the Health and Disability Commissioner’s Code of Health and Disability Services Consumers’ Rights, the complaints process and the Nationwide Health and Disability Advocacy Service.  Open disclosure between staff, residents and families is promoted and confirmed to be effective. There is access to interpreting services if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Ons Dorp Care Centre is governed by a general manager who is responsible for the Village and oversees the care centre. The general manager is supported by the clinical manager. Both are newly appointed to their roles by the Trust Board.</w:t>
      </w:r>
    </w:p>
    <w:p w:rsidRPr="00A4268A">
      <w:pPr>
        <w:spacing w:before="240" w:line="276" w:lineRule="auto"/>
        <w:rPr>
          <w:rFonts w:eastAsia="Calibri"/>
        </w:rPr>
      </w:pPr>
      <w:r w:rsidRPr="00A4268A">
        <w:rPr>
          <w:rFonts w:eastAsia="Calibri"/>
        </w:rPr>
        <w:t>Quality and risk performance are monitored and reported to the Trust Board. The facility has an incident and accident management system that records and reports all adverse, unplanned or untoward events, including appropriate statutory and regulatory reporting. Documentation and interviews confirmed that staff communicate with residents and family members about incidents.</w:t>
      </w:r>
    </w:p>
    <w:p w:rsidRPr="00A4268A">
      <w:pPr>
        <w:spacing w:before="240" w:line="276" w:lineRule="auto"/>
        <w:rPr>
          <w:rFonts w:eastAsia="Calibri"/>
        </w:rPr>
      </w:pPr>
      <w:r w:rsidRPr="00A4268A">
        <w:rPr>
          <w:rFonts w:eastAsia="Calibri"/>
        </w:rPr>
        <w:t>There are human resource policies in place and include recruitment, selection and appointment of appropriate staff. Orientation and regular training and education is provided. Staff competencies across a range of skills are also assessed routinely. Staffing is rostered to meet the numbers of residents in the facility and acuity levels. Staff, residents and family confirmed that staffing levels are adequate, and residents and relatives have access to staff when needed. Staff are allocated to support residents as per their individual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services in a competent and timely manner. The registered nurses (RNs) are responsible for completing nursing assessments, care plans and evaluations. Interventions are adequate to meet the residents’ assessed needs.</w:t>
      </w:r>
    </w:p>
    <w:p w:rsidRPr="00A4268A" w:rsidP="00621629">
      <w:pPr>
        <w:spacing w:before="240" w:line="276" w:lineRule="auto"/>
        <w:rPr>
          <w:rFonts w:eastAsia="Calibri"/>
        </w:rPr>
      </w:pPr>
      <w:r w:rsidRPr="00A4268A">
        <w:rPr>
          <w:rFonts w:eastAsia="Calibri"/>
        </w:rPr>
        <w:t>The planned activities provided are appropriate to meet the needs, age, culture, and setting of the service. The activities reflect the ordinary patterns of life and include involvement of residents and/or representatives and other community groups.</w:t>
      </w:r>
    </w:p>
    <w:p w:rsidRPr="00A4268A" w:rsidP="00621629">
      <w:pPr>
        <w:spacing w:before="240" w:line="276" w:lineRule="auto"/>
        <w:rPr>
          <w:rFonts w:eastAsia="Calibri"/>
        </w:rPr>
      </w:pPr>
      <w:r w:rsidRPr="00A4268A">
        <w:rPr>
          <w:rFonts w:eastAsia="Calibri"/>
        </w:rPr>
        <w:t>The service uses an electronic medication system for e-prescribing and administration systems. Medication is administered by staff with current medication administration competencies. Medication reviews are completed by the general practitioners (GPs) in a timely manner.</w:t>
      </w:r>
    </w:p>
    <w:p w:rsidRPr="00A4268A" w:rsidP="00621629">
      <w:pPr>
        <w:spacing w:before="240" w:line="276" w:lineRule="auto"/>
        <w:rPr>
          <w:rFonts w:eastAsia="Calibri"/>
        </w:rPr>
      </w:pPr>
      <w:r w:rsidRPr="00A4268A">
        <w:rPr>
          <w:rFonts w:eastAsia="Calibri"/>
        </w:rPr>
        <w:t>All aspects of food procurement, production, preparation, storage, transportation, delivery and disposal comply with current legislation and guidelines. There is a current food control plan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There has been one external (courtyard) building modification since the previous audit. Resident rooms, the lounge and bathrooms have been renovated to a high standard. The resident rooms are of an appropriate size to allow for care to be provided and for the safe use and manoeuvring of mobility aids.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processes are in place and the RN is the restraint coordinator. There was one resident using restraint and seven using enablers at the time of the audit. The restraint policy outlines that the use of enablers shall be voluntary with the intention of promoting residents’ independence and safety. There are implemented policies and procedures that support the minimisation of restraint. A comprehensive assessment, approval and monitoring process with regular reviews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surveillance is undertaken, analysed and trended. Results are reported to the manager. Surveillance records showed evidence of follow-up of infection when required.</w:t>
      </w:r>
    </w:p>
    <w:p w:rsidRPr="00A4268A">
      <w:pPr>
        <w:spacing w:before="240" w:line="276" w:lineRule="auto"/>
        <w:rPr>
          <w:rFonts w:eastAsia="Calibri"/>
        </w:rPr>
      </w:pPr>
      <w:r w:rsidRPr="00A4268A">
        <w:rPr>
          <w:rFonts w:eastAsia="Calibri"/>
        </w:rPr>
        <w:t>The infection surveillance programme is reviewed annually. Staff demonstrated current knowledge and practice in relation to the implementation of infection prevention and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22"/>
        <w:gridCol w:w="1280"/>
        <w:gridCol w:w="104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complaints policy and procedures were in line with the Code and includes timeframes for responding to a complaint. The clinical manager is responsible for all complaints, investigations and correspondence with the complainant. All documentation is in a file in the clinical manager’s office and these were reviewed. Records were able to be followed through, but the complaints register reviewed had not been documented and maintained since August 2017.  There were two complaints recorded in 2018 and nine written complaints have been received since January 2019. All are closed out on the complaint’s forms sighted except for one complaint received 26 August 2019 which has also been sent to the DHB by the complainant. An area of improvement has been identified in relation to the complaints register.</w:t>
            </w:r>
          </w:p>
          <w:p w:rsidR="00EB7645" w:rsidRPr="00BE00C7" w:rsidP="00BE00C7">
            <w:pPr>
              <w:pStyle w:val="OutcomeDescription"/>
              <w:spacing w:before="120" w:after="120"/>
              <w:rPr>
                <w:rFonts w:cs="Arial"/>
                <w:b w:val="0"/>
                <w:lang w:eastAsia="en-NZ"/>
              </w:rPr>
            </w:pPr>
            <w:r w:rsidRPr="00BE00C7">
              <w:rPr>
                <w:rFonts w:cs="Arial"/>
                <w:b w:val="0"/>
                <w:lang w:eastAsia="en-NZ"/>
              </w:rPr>
              <w:t>Information on how to make a complaint is made available at entry to the service as stated by residents and their families interviewed. All residents and the families interviewed state they know how to make a complaint if they needed to.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Health and Disability Commissioner external complaints since the previous audit that have been closed out. There is one complaint that is open (as above) which has been sent recently to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that they are able to communicate easily with staff and feel free to raise any issues if needed. There is an open disclosure and interpreter policies and procedures in place. Family interviewed said they are satisfied with the level of communication they had with the service.</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are aware of the need for open and honest communication with residents and their families and are aware of how to access interpreters if required. The DHB interpreter service can be accessed if needed and staff are also able to assist if needed. Most residents at this facility speak Dutch and there are staff who are able to translate as necessary. Residents of other nationalities are also well represented by staff of the same cultures.</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the complaints procedure and the open disclosure procedure alert staff to their responsibility to notify family of any issues or change in condition that occurred in consultation with the resident. These procedures guide staff on the process to ensure full and frank open disclosure is available. Family were informed if the resident had an incident, accident or a change in health status and this was evidenced in the completed accident/incident forms reviewed. Interview with family members confirmed they were kept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strategic plan dated 2016 to 2019 which identified the organisation’s mission statement, vision and philosophy and shows the organisation’s planning process to meet the residents’ needs. Meetings for the care centre are held monthly with the trust board to determine if the objectives set meet the needs of the residents. This is reflected in the goals sighted which cover all aspects of service delivery. The business planning includes an assessment of the strengths and weakness of the service for this charitable trust.</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general village manager who oversees the care facility and village (seven months in this role) and the clinical manager (six months in this role) who is responsible for the care facility. The staff and residents report to the clinical manager and stated the clinical manager is approachable and addresses any concerns they may have. Both the general manager and the clinical manager report directly to the trust board.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rest home, respite care and hospital level care (geriatric and medical). The service has 44 dual purpose beds and one respite care bed. On the day of the audit the total occupied beds were 45 which included 25 hospital level care residents and 19 rest home level care residents and one respite care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accidents, complaints, audit activities, a regular resident annual satisfaction survey, monitoring of outcomes, clinical incidents including infections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quality and staff meetings. Staff interviewed reported their involvement in quality and risk management activities through audit activities. Relevant corrective actions are developed and implemented to address ay shortfalls. The clinical manager interviewed is reviewing the audit schedule to evidence more appropriate timeframes between audits undertaken. A survey was completed of residents/family and staff in May this year. Positive feedback was received. </w:t>
            </w:r>
          </w:p>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reviewed cover all contractual and service obligations including reference to the interRAI long term care facility (LTCF) assessment tool and process. Policies are based on best practice and are regularly reviewed and reference the relevant sources, approval and distribution. Obsolete documents are removed and stored appropriately for the required timeframe before being destroyed.</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interviewed is fully informed about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interviewed understood that they had to complete an incident form for any adverse or near miss events. A sample of forms was sighted and evidenced that the forms were completed, incidents were followed up by the clinical manager and action plans developed and followed through in a timely manner. All adverse events data is collated, analysed and reported to the quality and staff meetings. Minutes of the meetings were reviewed. Any outcomes or issues were reported by the clinical manager at the trust board meetings held monthly. Unwitnessed falls protocol is known to staff interviewed and neurological observations are used as per the policy reviewed. Family members are notified, and this is recorded on the incident form, in the progress records and the family communication record in each resident record reviewed.</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described essential notification reporting requirements, including any pressure injuries. One section 31 notice has been sent to the MoH in relation to when staffing numbers were not at the required level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processes are based on good employment practice and relevant legislation. A sample of staff records were reviewed and included refer checks, policies vetting and validation of allied health professionals’ qualifications and that of the GPs, registered nurses and the contracted pharmacy and pharmacists annual practising certificates (APCs) where required. The records reviewed confirmed the organisation’s policies are being consistently implemented and records are maintained. The records are filed in the clinical manager’s office in a locked filing cabinet.</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 roles they play in the organisation. The staff records reviewed evidenced completed orientation for infection control, restraint minimisation and other topics.  In addition, ongoing competencies for HCAs and RNs as required are completed. Cleaning and laundry staff have completed relevant training on products utilised in those services. Most staff have completed a first aid and the certificates were observed in the records reviewed. An area of improvement was identified in relation to the performance appraisals not being currently up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is planned on a two-yearly basis, including mandatory training requirements. The health care assistants have either completed or commenced a New Zealand qualification Authority (NZQA) education programme to meet the requirements of the provider’s agreement with the DHB. There are two registered nurses who are workplace assessors. All health care assistants have completed level 4 NZQA equivalent training. Education records and certificates were present in the staff records reviewed. There are six registered nurses plus the clinical manager employed in this service currently. Advertising is ongoing to increase the number of registered nurses needed. There are three registered nurses including the clinical manager who are competent to complete the interRAI assessments. One registered nurse is completing the training course currently.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system in place for determining staffing levels and ensuring skill mixes are appropriate to cover the service 24 hours a day, seven days a week (24/7). The clinical manager adjusts the staffing levels to meet the acuity levels and changing needs of residents. The clinical manger covers the after-hours. The healthcare assistants interviewed stated there were adequate staff available and that teamwork is encouraged. On visual inspection and review of a four-week roster cycle confirmed adequate staff cover is provided. Staff are replaced for study leave, sickness or annual leave or any other unplanned absence. Registered nurses are on duty every shift and there is always one staff member on duty who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completes medication reconciliation when packs are received from the pharmacy.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Short course, discontinued medicines and all requirements for pro re nata (PRN) medicines were met. The required three-monthly GP review was consistently recorded on the electronic records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an external contractor and is in line with recognised nutritional guidelines for older people. The menu follows summer and winter cycles and has been reviewed by a qualified dietitian and a nutritionist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food service operates with an approved food control plan. Food temperatures, including for high risk items, are monitored appropriately and recorded as part of the plan. The cooks have completed safe food handling qualification, and kitchen assistants have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completed for each resident on admission to the facility and a dietary profile developed.  The personal food preferences, any special diets and modified texture requirements are made known to kitchen staff and accommodated in the daily meal plan. Interviewed residents and family reported that food alternatives provided per request.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Interviewed residents and family reported satisfaction with the food provided. Satisfaction surveys and resident meeting minutes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provided to residents was consistent with their assessed needs, goals and the plan of care. The attention to meeting a diverse range of resident’s individualised needs was evident in all areas of service provision. The GP interviewed, verified that medical input is sought in a timely manner, that medical orders are followed, and care is provided as required.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the activities team. The activities coordinator is responsible for completing the activities assessment for all residents on admission with input from the residents or family where appropriate. A social assessment and history are completed on admission to ascertain residents’ needs, interests, abilities and social requirements. Individual activities plans were sighted in files reviewed. There is a monthly and weekly activities programme. The weekly activities programme is posted on the notice board and given to individual residents. There are group activities and individual activities. There are activities planned for rest home level residents and separate for hospital level residents. However, residents who want to attend to either activities are allowed to do so freely. There are also combined activities planned for external entertainers. Residents have access to community events and community outings. Residents were observed participating in various activities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assessments are regularly reviewed to help formulate an activities programme that is meaningful to the residents. An activity participating register is completed daily by the activities team. The resident’s activity needs are evaluated as part of the formal six-monthly care plan review with input from the activities team.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Residents and families/whānau are involved in evaluating and improving the programme through residents’ meetings and satisfaction surveys. Interviewed residents reported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healthcare assistants (HCAs).  Any change noted, is reported to the RNs. The RNs documents in the progress notes at least weekly. There is a process for evaluating the long-term care plans and interRAI assessments six-monthly, however this was not met consistently (refer 1.3.3.3).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resident’s progress is different from expected, the service responds by initiating changes to the plan of care. Short term care plans were being consistently reviewed and progress evaluated as clinically indicated. Residents and families/whānau interviewed confirmed their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reception office and expires 23 November 2019. A monthly safety inspection is recorded, this records environmental inspections, inspection of furnishings and equipment and review of the civil defence supplies. The electrical equipment evidenced current test and tag inspection labels, appropriate to the type of equipment and environment. Annual calibration of the medical equipment was last conducted May 2019.</w:t>
            </w:r>
          </w:p>
          <w:p w:rsidR="00EB7645" w:rsidRPr="00BE00C7" w:rsidP="00BE00C7">
            <w:pPr>
              <w:pStyle w:val="OutcomeDescription"/>
              <w:spacing w:before="120" w:after="120"/>
              <w:rPr>
                <w:rFonts w:cs="Arial"/>
                <w:b w:val="0"/>
                <w:lang w:eastAsia="en-NZ"/>
              </w:rPr>
            </w:pPr>
            <w:r w:rsidRPr="00BE00C7">
              <w:rPr>
                <w:rFonts w:cs="Arial"/>
                <w:b w:val="0"/>
                <w:lang w:eastAsia="en-NZ"/>
              </w:rPr>
              <w:t>There has been a total upgrade of the external courtyard area which is covered in and can be used all year and all seasons. There is appropriate garden furniture with comfortable seating and planters for the setting. Renovations to residents’ rooms and all bathrooms have been completed. New carpet throughout the facility was evident and furnishings and wall paintings have been replaced.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families reported satisfaction with the environment at Ons Dorp Care Centre.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infections is carried out in accordance with agreed objectives, priorities and the methodology that is specified in the infection control programme. The surveillance programme reviewed is appropriate for this care centre. Surveillance forms have been developed and implemented for the reporting of infections. Information gained is reported as part of the quality management system requirements and quality improvement objectives on a monthly basis and quarterly overview/analysis. Any immediate trends are reported to staff to implement actions. The infection data evidences minimal numbers of infections, where there has been any increase, such as an increase in urinary infections actions are implemented to reduce the reoccurrence.</w:t>
            </w:r>
          </w:p>
          <w:p w:rsidR="00EB7645" w:rsidRPr="00BE00C7" w:rsidP="00BE00C7">
            <w:pPr>
              <w:pStyle w:val="OutcomeDescription"/>
              <w:spacing w:before="120" w:after="120"/>
              <w:rPr>
                <w:rFonts w:cs="Arial"/>
                <w:b w:val="0"/>
                <w:lang w:eastAsia="en-NZ"/>
              </w:rPr>
            </w:pPr>
            <w:r w:rsidRPr="00BE00C7">
              <w:rPr>
                <w:rFonts w:cs="Arial"/>
                <w:b w:val="0"/>
                <w:lang w:eastAsia="en-NZ"/>
              </w:rPr>
              <w:t>Staff report that they are kept well informed and understood their responsibilities for reporting any signs and symptoms of a resident having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restraint and seven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06"/>
        <w:gridCol w:w="1280"/>
        <w:gridCol w:w="7091"/>
        <w:gridCol w:w="2058"/>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previous complaints records were maintained and were up to date up to date in the complaints register until August 2017. The complaints register is the responsibility of the clinical manager. Records were kept in a folder in the clinical manager’s office, but not filed appropriately to meet the requirements of the Code in the complaints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Complaints have been addressed but the complaints register reviewed has not been maintained since July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 complaints register is maintained to include all complaints, dates and actions taken.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interviewed were skilled and/or had completed relevant training and education to safely meet the needs of the residents. The clinical manager did not have a schedule to evidence staff have annual performance reviews. The eight staff records reviewed did not evidence that annual staff performance reviews had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annual performance appraisals have not been completed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staff appraisals are completed annually as per policy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are responsible for all assessment, care planning and evaluation. Each resident’s lifestyle care plan details strategies to maintain and promote the resident’s independence, wellbeing and, where appropriate, their community involvement.   Short term care plans were completed for acute conditions, evaluated in a timely manner and closed off when the acute conditions resolved. There are trained RNs who are responsible for completing interRAI assessments and one RN is still undergoing interRAI training. An improvement is required to ensure that interRAI assessments and care plans are completed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reviewed evidenced that interRAI assessments and lifestyle care plan evaluations were not completed within three weeks of admission and evaluated six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interRAI assessments and lifestyle care plan evaluations are completed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Dutch Village Trust - Ons Dorp Care Centre</w:t>
    </w:r>
    <w:bookmarkEnd w:id="58"/>
    <w:r>
      <w:rPr>
        <w:rFonts w:cs="Arial"/>
        <w:sz w:val="16"/>
        <w:szCs w:val="20"/>
      </w:rPr>
      <w:tab/>
      <w:t xml:space="preserve">Date of Audit: </w:t>
    </w:r>
    <w:bookmarkStart w:id="59" w:name="AuditStartDate1"/>
    <w:r>
      <w:rPr>
        <w:rFonts w:cs="Arial"/>
        <w:sz w:val="16"/>
        <w:szCs w:val="20"/>
      </w:rPr>
      <w:t>2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