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Clair House Limited - Claire House Aged Care Facility</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Clair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Claire House Aged Care Facility</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August 2019</w:t>
      </w:r>
      <w:bookmarkEnd w:id="7"/>
      <w:r w:rsidRPr="009418D4">
        <w:rPr>
          <w:rFonts w:cs="Arial"/>
        </w:rPr>
        <w:tab/>
        <w:t xml:space="preserve">End date: </w:t>
      </w:r>
      <w:bookmarkStart w:id="8" w:name="AuditEndDate"/>
      <w:r w:rsidR="00A4268A">
        <w:rPr>
          <w:rFonts w:cs="Arial"/>
        </w:rPr>
        <w:t>8 August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One additional bedroom was assessed as suitable for rest home care increasing the number of beds from 54 to 55.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Claire House Aged Care provides rest home care for up to 55 residents.  On the day of the audit there were 54 residents.  The rest home has been owner/operated for 34 years.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residents, relatives and general practitioner spoke highly of the care and service provided at Claire House.  The service has a well-established quality system that identifies ongoing quality improvement.</w:t>
      </w:r>
    </w:p>
    <w:p w:rsidRPr="00A4268A">
      <w:pPr>
        <w:spacing w:before="240" w:line="276" w:lineRule="auto"/>
        <w:rPr>
          <w:rFonts w:eastAsia="Calibri"/>
        </w:rPr>
      </w:pPr>
      <w:r w:rsidRPr="00A4268A">
        <w:rPr>
          <w:rFonts w:eastAsia="Calibri"/>
        </w:rPr>
        <w:t xml:space="preserve">The manager (owner/operator) and assistant manager are non-clinical and supported by two registered nurses experienced in aged care.   </w:t>
      </w:r>
    </w:p>
    <w:p w:rsidRPr="00A4268A">
      <w:pPr>
        <w:spacing w:before="240" w:line="276" w:lineRule="auto"/>
        <w:rPr>
          <w:rFonts w:eastAsia="Calibri"/>
        </w:rPr>
      </w:pPr>
      <w:r w:rsidRPr="00A4268A">
        <w:rPr>
          <w:rFonts w:eastAsia="Calibri"/>
        </w:rPr>
        <w:t>The service has maintained continuous improvement ratings around food services and reduction of respiratory tract infections.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kept fully informed of changes in their family member’s health status.  Information about the complaints process is easily accessible to residents and families.  Management operate an open-door policy.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Quality management processes are reflected in the businesses plans, goals, objectives and policies.  A risk management programme is in place, which includes incident and accident reporting, internal audits, surveys and health and safety processes.  There are human resources policies including recruitment, job descriptions, selection, orientation and staff training and development.  The service has an orientation programme that provides new staff with relevant information for safe work practice.  The service has an annual training schedule for in-service education that includes on-site in-service and on-line learning modules.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Senior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Residents commented positively on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The new resident room is fit for purpose.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policy includes the definitions of restraint and enablers, which is congruent with the definitions in NZS 8134.0.  At the time of the audit, the service had no residents using restraints or enablers.  Staff have received training around restraint minimisation and management of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is the senior registered nurse who oversees infection control for the service.  Information obtained through surveillance is used to determine infection control activities and education needs within the facility.  Staff are kept informed on infection control matters through facility meetings.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1"/>
        <w:gridCol w:w="1280"/>
        <w:gridCol w:w="104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 owner/manager and assistant manager operate an ‘open door’ policy.  The manager is the privacy officer and addresses complaints/concerns in consultation with the registered nurses (RN) for clinical issues.  Complaint forms are available.  Information about complaints is provided on admission.  Complaints process and code of rights is discussed at the monthly resident meeting and all residents have a handbook in their rooms.  Six residents and three relatives interviewed confirmed they are aware of the complaints process.  Healthcare assistants interviewed were able to describe the process around reporting complaints.  There were 25 complaints/concerns with many raised in meeting minutes for 2018 and seven concerns received for 2019 to date.  All concerns had been addressed, investigated (as appropriate) and followed-up with meetings to ensure the complainant was satisfied with the outcome.  There have been no DHB or HDC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 place.  Communication with family members is recorded on the incident report forms and in the resident daily progress notes.  Thirteen incident/accident forms reviewed identified that family were notified following a resident incident.  Three family members interviewed stated they were well informed and involved when needed in residents care.  Resident meetings are held monthly in each house and are open to families to attend.  Open discussion is encouraged around the services provided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and family are informed prior to entry of the scope of services and any items they have to pay that is not covered by the agreement.  There are interpreter services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offers rest home level care for up to 55 residents.  Claire House is split into three buildings.  Claire House has 16 of 16 residents, Clairemont has 16 of 16 residents, Fleurmont has 18 of 18 residents and Claire Villa had four of five residents.  One additional resident room was assessed in the downstairs Fleurmont building.  On the day of audit there were 54 residents.  There were three residents under long-term chronic health condition funding, two younger persons under MOH funding, to residents under the mental health act and one resident under the mental health funding.  All other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is non-clinical and has owned and managed the facility for 34 years.  The owner/manager is supported by an assistant manager (non-clinical) who has been in the role three years and is responsible for administration, human resources, education and overseeing quality systems.  The management team are supported by two RNs.  One RN (35 hours per week) has been at Claire House for eight years and completing a master’s degree.  The other RN is 32 hours per week, one is based in Claire House and the other Fleurmont House.  The workforce is stable and long serving.  </w:t>
            </w:r>
          </w:p>
          <w:p w:rsidR="00EB7645" w:rsidRPr="00BE00C7" w:rsidP="00BE00C7">
            <w:pPr>
              <w:pStyle w:val="OutcomeDescription"/>
              <w:spacing w:before="120" w:after="120"/>
              <w:rPr>
                <w:rFonts w:cs="Arial"/>
                <w:b w:val="0"/>
                <w:lang w:eastAsia="en-NZ"/>
              </w:rPr>
            </w:pPr>
            <w:r w:rsidRPr="00BE00C7">
              <w:rPr>
                <w:rFonts w:cs="Arial"/>
                <w:b w:val="0"/>
                <w:lang w:eastAsia="en-NZ"/>
              </w:rPr>
              <w:t>The owner/manager lives in an adjourning property and is available 24 hours a day/seven days a week if necessary.  The two RNs cover the on-call.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2019 business plan in place with goals that are regularly reviewed.  Goals achieved to date include (a) developing resident-focused cares through updating the resident needs and treatment forms which detail specific residents care preferences, (b) introduction of CHOMP, an electronic food safety system that is linked to the menus, (c) addition of one resident room and continuing building plans for another three rooms and (d) implementation of on-line learning.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has maintained at least eight hours annually of professional development activities related to managing a rest home.  She attends the two monthly aged care consultant meetings which includes external speakers covering topics such as human resources, legislation, employment law and food safety.  The manager and RN attend DHB cluster group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being implemented.  Quality goals were documented in the staff/quality meeting minutes.  Policies and procedures are provided by an external consultant with evidence of regular reviews.  Staff are made aware of any policy changes through staff meetings, evidenced in meeting minutes.  There is monthly collating of quality and risk data that includes monitoring accidents and incidents, infection rates concerns and complaints, pressure injuries, survey outcomes and internal audit outcomes.  Facility meetings include continuous quality improvement meeting (managers and RNs), staff meetings and combined health and safety/infection control meetings.  There is evidence in meeting minutes of discussion around all quality data.  All staff read and sign the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regularly monitor compliance.  A corrective action form is completed where areas are identified for improvement.  Re-audits occur as required.  Staff are kept informed regarding results via staff meetings and during staff handovers.  There are annual resident satisfaction and family satisfaction surveys completed.  There was a greater response in 2018 due to an on-line survey.  All responses were either very satisfied or satisfied.  The 2019 survey is not yet due.  The service completes two monthly resident surveys of 20 residents each time for aspects of the service including code of rights/complaints/advocacy, food service and activities.  Survey results are summarised, and any corrective actions were implemented and fed back to participants.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which includes reviewing incidents/accidents and managing identified hazards.  The assistant manager is the health and safety officer and has completed health and safety training October 2017.  There are two nominated health and safety representatives each year which (over time) gives all staff an opportunity to take on the role and be actively involved in health and safety.  Health and safety meetings and environmental walk-arounds are conducted each month.  There is a current hazard register.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the analysis of falls events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all incident and accident information reported by staff on a paper-based system and entered into a monthly data collection form which is analysed for trends and corrective actions.  Incident and accident data are reported to the monthly continuous quality improvement meeting.  Fifteen resident related incident forms were reviewed for July 2019.  Each event involving a resident reflected a clinical assessment and follow-up by a RN.  Neurological observations had been completed for unwitnessed falls.  Care staff interviewed were very knowledgeable regarding the care needs (including high falls) for all residents.  Discussions with the owner/manager and assistant manager confirmed that there is an awareness of the requirement to notify relevant authorities in relation to essential notifications.  There have been three section 31 notifications for 2019 to date, related to absconding residents requiring police intervention.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(one RN, three HCAs and one diversional therapist) reviewed, evidenced implementation of the recruitment process, employment contracts, completed orientation and annual performance appraisals.  A register of RN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and is followed up with a two-week assessment.  Staff interviewed were able to describe the orientation process and reported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in-service is held at the end of the staff meetings.  The 2018 annual education plan has been completed and the 2019 education plan is being implemented.  The service has introduced on-line modules through an aged care consultant.  The site is accessible for staff from their home.  The assistant manager maintains individual records of training which includes attendance at on-site training and on-line modules.  External speakers include H&amp;D advocate, aged care consultant, hospice, pharmacist, age concern and the physiotherapist for safe manual handling.  Two of two RNs have completed their interRAI training.  A roving assessor is available to support care staff through Careerforce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meeting contractual requirements.  The owner/manager and assistant manager work full-time and live on the premises.  There are two part-time RNs employed from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Claire House is divided into four houses, Claire House (16 residents), Clairemont (16 residents), Fleurmont (18 residents) and Claire Villa has four residents.  There was a total of 54 residents.  There is one RN on duty for 35 hours Monday to Friday based in Claire House/Clairemont.  There is another RN on duty for 32 hours from Monday to Friday based in Fleurmont/Claire Villa.  The RNs are supported by two enrolled nurses and adequate numbers of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Claire House/Clairemont there are four HCAs on duty on the morning shift (two full shift and two short shift) and two HCAs on the full afternoon shifts and two HCAs on the night shift.  In Fleurmont there are two HCAs on duty on the morning for the full shift, one HCA on the afternoon shift and one on the night shift.  There is an HCA on duty from 7 am to midday each day in the five-bed villa.  Cover is provided from Claire house after midday to 8 am.  </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staff for activities, food services and cleaning/laundry.  Staff (interviewed) reported that staffing levels and the skill mix were appropriate and safe.  Residents and relatives interviewed advised that they felt there are sufficient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all aspects of medication management, including self-administration.  There were no residents self-administering on the day of audit.  All policies and procedures had been adhered to.  There are no standing orders.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Senior medication competent HCAs administer medications.  All staff have up-to-date medication competencies and there has been medication education this year.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electronically.  Ten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two cooks who cover Monday to Sunday between them.  They work from 9 am to 6 pm.  There are kitchenhands on each day from 8 am to 1 pm.  All kitchen staff have current food safety certificates.  Both cooks oversee the procurement of the food and management of the kitchen.  There is a well-equipped kitchen and all meals are cooked on site.  Meals are served in the dining rooms from hot boxes.  Meals going to rooms on trays have covers to keep the food warm.  Special equipment such as lipped plates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meals were observed to be hot and well-presented and residents stated that they were enjoying their meal.  There is an online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are known.  The four-weekly menu cycle is approved by a dietitian.  All residents and family members interviewed were satisfied with the meals with positive comments on the vegetarian option available at each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purchased a computer programme which enables access to all recordings, menus and work schedules online.  The CI rating has been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has been submitted and scheduled for verification.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and family interviewed confirmed this.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on accident forms and written in the progress notes.  Neurological observations are completed for unwitnessed falls or falls where residents hit their heads.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documented, and wound monitoring occurs as planned.  There are currently three wounds being treated (including the stage two pressure injury).  One chronic wound has had input from a dermatologist.  There is currently one stage two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monitoring forms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works 28 hours a week plus two floating other activity staff if required.  The activities coordinator attends diversional therapy study days four times a year and also attends the facility’s in-services.  Students from a diversional therapy course come to the facility for clinical experience and are supervised by the activity coordinator in conjunction with their tutor.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Residents have the choice of a variety of activities in which to participate and every effort is made to ensure activities are meaningful and tailored to residents’ needs.  These include exercises, games, quizzes, arts and crafts, music and walks outside.  The YPD residents participate in many of the activities available and enjoy the close proximity and access to the local shops and cafés.  Those residents who prefer to stay in their room or who need individual attention have one-on-one visits to check if there is anything they need and to have a chat.  The diversional therapy students enjoy assisting with this.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interdenominational church service every four weeks and a Catholic volunteer visits weekly to give the Catholic residents communion.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Currently there are no van outings as the company who was assisting with this is no longer able to do so.  Other avenues are being explored.  There is a shopping centre close by and residents enjoy visiting this independently or with assistance from the activity coordinator.  </w:t>
            </w:r>
          </w:p>
          <w:p w:rsidR="00EB7645" w:rsidRPr="00BE00C7" w:rsidP="00BE00C7">
            <w:pPr>
              <w:pStyle w:val="OutcomeDescription"/>
              <w:spacing w:before="120" w:after="120"/>
              <w:rPr>
                <w:rFonts w:cs="Arial"/>
                <w:b w:val="0"/>
                <w:lang w:eastAsia="en-NZ"/>
              </w:rPr>
            </w:pPr>
            <w:r w:rsidRPr="00BE00C7">
              <w:rPr>
                <w:rFonts w:cs="Arial"/>
                <w:b w:val="0"/>
                <w:lang w:eastAsia="en-NZ"/>
              </w:rPr>
              <w:t>There are regular entertainers visiting the facility at the weekends.  Special events such as birthdays, Easter, Anzac Day, and Queens’s birthday are recognised and celebrated.  Happy Hour is four weekly and there is always singing and dancing.</w:t>
            </w:r>
          </w:p>
          <w:p w:rsidR="00EB7645" w:rsidRPr="00BE00C7" w:rsidP="00BE00C7">
            <w:pPr>
              <w:pStyle w:val="OutcomeDescription"/>
              <w:spacing w:before="120" w:after="120"/>
              <w:rPr>
                <w:rFonts w:cs="Arial"/>
                <w:b w:val="0"/>
                <w:lang w:eastAsia="en-NZ"/>
              </w:rPr>
            </w:pPr>
            <w:r w:rsidRPr="00BE00C7">
              <w:rPr>
                <w:rFonts w:cs="Arial"/>
                <w:b w:val="0"/>
                <w:lang w:eastAsia="en-NZ"/>
              </w:rPr>
              <w:t>There are four rest home cats.  Pet therapy is five weekly and six dogs attend.</w:t>
            </w:r>
          </w:p>
          <w:p w:rsidR="00EB7645" w:rsidRPr="00BE00C7" w:rsidP="00BE00C7">
            <w:pPr>
              <w:pStyle w:val="OutcomeDescription"/>
              <w:spacing w:before="120" w:after="120"/>
              <w:rPr>
                <w:rFonts w:cs="Arial"/>
                <w:b w:val="0"/>
                <w:lang w:eastAsia="en-NZ"/>
              </w:rPr>
            </w:pPr>
            <w:r w:rsidRPr="00BE00C7">
              <w:rPr>
                <w:rFonts w:cs="Arial"/>
                <w:b w:val="0"/>
                <w:lang w:eastAsia="en-NZ"/>
              </w:rPr>
              <w:t>One resident goes to a Māori singing group, one goes to an art class and two attend a rehabilitation gym twice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monthly and there is an annual activities satisfaction survey that evidenced satisfaction with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care plans reviewed had been evaluated by the registered nurses six monthly or when changes to care occurs.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building warrant of fitness which expires 30 September 2019.  Preventative and reactive maintenance occurs.  One additional room in downstairs Fleurmont house was assessed as suitable for rest home care.  The new room is spacious and has an ensuite.  There is sufficient room in the ensuite for a shower chair if required.  The resident has a pendent bell which can be worn in the shower.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is a policy describing surveillance methodology for monitoring of infections.  Definitions of infections are in place appropriate to the complexity of service provided.  The surveillance data is collected and analysed monthly to identify areas for improvement or corrective action requirements.  Trends are identified and quality initiatives are discussed at the combined health and safety/infection control meetings and facility meetings.   The service continues to benchmark against the previous years to identify trends or any areas for improvement.  The service has been successful in maintaining urinary tract infections below the benchmark since the previous audit.  The service intervenes early with alternative therapies (trialling) for any resident with flu-like signs and symptoms and has reduced the need for antibiotics.  The GP reviews antibiotic use at least three monthly with the medication review.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of confirmed norovirus in March 2019.  Notification to public health and case logs were sighted.  The outbreak was well managed with plentiful resources and contained within one house.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There were no residents using restraints or enablers at the time of audit.  Staff training around restraint minimisation and management of challenging behaviours last occurred in September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45"/>
        <w:gridCol w:w="1280"/>
        <w:gridCol w:w="2162"/>
        <w:gridCol w:w="84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to provide a vegetarian option at all meals.  Resident feedback and survey result evidence demonstrates residents are very satisfied with the meals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Vegetarian options remain available at each meal and are written on the menu boards in each house.  Residents interviewed commented on the flavour and presentation of vegetarian meals.  Food services and meals provided are discussed at each resident meeting.   Resident survey evidences they are very satisfied with the meals including the vegetarian option   Twenty residents per month are surveyed against all aspects of service including food satisfaction. Survey results are summarised, and any corrective actions implemented and fed back to participants at their resident meetings.  There have been no concerns or complaints regarding meals since the introduction of vegetarian meals.   Residents who prefer vegetarian meals (interviewed and surveyed indicates a 100% satisfaction with their meals.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trialling in consultation with the GP, early intervention with alternative for residents with chest and cold signs and symptoms.  The service has been successful to date with reducing the number of residents requiring antibiotics in comparison with 2018 numbers.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Influenza vaccine uptake has increased with 90%+ residents and 80% staff.  Staff education and prompt and early reporting of cold and flu-like signs and symptoms ensure the RNs are notified and household remedies initiated immediately to prevent worsening symptoms and the spread of infection.  The action plan includes maintaining resident hydration status and offering extra fluids, lemon and honey drinks, throat lozenges and paracetamol for comfort.  The GP is notified, and the residents closely monitored.  In May 2019 there were 13 residents with cold and flu-like symptoms that were managed with early intervention with alternative therapies.  Two residents required treatment with antibiotics compared with 4 residents in May 2018.  For June, one resident has been treated with antibiotics compared with five in June 2018.  There were no chest infections treated with antibiotics in July 2019 compared with 12 in July 2018.  The service has been successful to date in reducing chest infections.  The trial will be formally evaluated at the end of the winter months.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Clair House Limited - Claire House Aged Care Facility</w:t>
    </w:r>
    <w:bookmarkEnd w:id="58"/>
    <w:r>
      <w:rPr>
        <w:rFonts w:cs="Arial"/>
        <w:sz w:val="16"/>
        <w:szCs w:val="20"/>
      </w:rPr>
      <w:tab/>
      <w:t xml:space="preserve">Date of Audit: </w:t>
    </w:r>
    <w:bookmarkStart w:id="59" w:name="AuditStartDate1"/>
    <w:r>
      <w:rPr>
        <w:rFonts w:cs="Arial"/>
        <w:sz w:val="16"/>
        <w:szCs w:val="20"/>
      </w:rPr>
      <w:t>8 August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