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Y&amp;P NZ Limited - Deverton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Y&amp;P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Deverton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September 2019</w:t>
      </w:r>
      <w:bookmarkEnd w:id="7"/>
      <w:r w:rsidRPr="009418D4">
        <w:rPr>
          <w:rFonts w:cs="Arial"/>
        </w:rPr>
        <w:tab/>
        <w:t xml:space="preserve">End date: </w:t>
      </w:r>
      <w:bookmarkStart w:id="8" w:name="AuditEndDate"/>
      <w:r w:rsidR="00A4268A">
        <w:rPr>
          <w:rFonts w:cs="Arial"/>
        </w:rPr>
        <w:t>6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Deverton House Rest Home (Deverton House) provides rest home level care for up to 21 residents. The service is operated by a private owner/director and it is one of three facilities owned by the same operator. Deverton House is managed by a facility manager who is supported by two registered nurse who oversee all clinical service.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the owner/director, staff, and a general practitioner. An interpreter was used for conducting interviews and to check written material which was in Mandarin. </w:t>
      </w:r>
    </w:p>
    <w:p w:rsidRPr="00A4268A">
      <w:pPr>
        <w:spacing w:before="240" w:line="276" w:lineRule="auto"/>
        <w:rPr>
          <w:rFonts w:eastAsia="Calibri"/>
        </w:rPr>
      </w:pPr>
      <w:r w:rsidRPr="00A4268A">
        <w:rPr>
          <w:rFonts w:eastAsia="Calibri"/>
        </w:rPr>
        <w:t>This audit has identified one area requiring improvement relating to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links with a range of specialist heal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philosophy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are responsible for completing nursing assessments, care plans and evaluations. Interventions are adequate to meet the residents’ assessed needs.</w:t>
      </w:r>
    </w:p>
    <w:p w:rsidRPr="00A4268A" w:rsidP="00621629">
      <w:pPr>
        <w:spacing w:before="240" w:line="276" w:lineRule="auto"/>
        <w:rPr>
          <w:rFonts w:eastAsia="Calibri"/>
        </w:rPr>
      </w:pPr>
      <w:r w:rsidRPr="00A4268A">
        <w:rPr>
          <w:rFonts w:eastAsia="Calibri"/>
        </w:rPr>
        <w:t>The planned activities provided are appropriate to the needs of the residents, age, culture, and setting of the service. The activities reflected ordinary patterns of life and include involvement of residents and/or representatives and other community groups.</w:t>
      </w:r>
    </w:p>
    <w:p w:rsidRPr="00A4268A" w:rsidP="00621629">
      <w:pPr>
        <w:spacing w:before="240" w:line="276" w:lineRule="auto"/>
        <w:rPr>
          <w:rFonts w:eastAsia="Calibri"/>
        </w:rPr>
      </w:pPr>
      <w:r w:rsidRPr="00A4268A">
        <w:rPr>
          <w:rFonts w:eastAsia="Calibri"/>
        </w:rPr>
        <w:t>The service uses an electronic medication system for e-prescribing and administration systems. Medication is administered by staff with current medication administration competencies. Medication reviews are completed by the general practitioners (GPs) in a timely manner.</w:t>
      </w:r>
    </w:p>
    <w:p w:rsidRPr="00A4268A" w:rsidP="00621629">
      <w:pPr>
        <w:spacing w:before="240" w:line="276" w:lineRule="auto"/>
        <w:rPr>
          <w:rFonts w:eastAsia="Calibri"/>
        </w:rPr>
      </w:pPr>
      <w:r w:rsidRPr="00A4268A">
        <w:rPr>
          <w:rFonts w:eastAsia="Calibri"/>
        </w:rPr>
        <w:t>All aspects of food procurement, production, preparation, storage, transportation, delivery and disposal comply with current legislation and guidelines. There was a current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and biomedical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a no restraint policy as described in their policies and procedures. No enablers or restraints were in use at the time of audit.  Policy describes a comprehensive assessment, approval and monitoring process should restraint be required. Policy describes enablers as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registered nurse who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ongoing education.</w:t>
      </w:r>
    </w:p>
    <w:p w:rsidRPr="00A4268A">
      <w:pPr>
        <w:spacing w:before="240" w:line="276" w:lineRule="auto"/>
        <w:rPr>
          <w:rFonts w:eastAsia="Calibri"/>
        </w:rPr>
      </w:pPr>
      <w:r w:rsidRPr="00A4268A">
        <w:rPr>
          <w:rFonts w:eastAsia="Calibri"/>
        </w:rPr>
        <w:t>Aged care specific infection surveillance is undertaken and results are shared with management and staff.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7"/>
        <w:gridCol w:w="1280"/>
        <w:gridCol w:w="91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Deverton House Rest Home (Deverton House) has developed policies and procedures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verified in the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registered nurse (RN) and staff interviewed understood the principles and practice of informed consent. Informed consent policies provide the relevant guidance to staff. The clinical records showed that informed consent has been gained appropriately using the organisation’s standard consent form including consent for photographs, outings in the van, and for annual influenza vaccinations or any treatments/procedures to be performed. The residents interviewed with the aid of the interpreter understood and stated they were given choices and provided with information to make informed decisions. The forms observed are documented both in Chinese and English.</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the residents/family are provided with a copy of the Code which also includes information about the Advocacy Service. Pamphlets about the Advocacy Service are available at reception. Family members interviewed were aware of this service and how to access this for their relative if requested. Residents are welcome to have support persons and church visitors anytime. Staff are aware of how to access the advocacy service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and independence by maintaining links with their family and the community by attending a variety of organised outings, visits, shopping, markets and church. The facility has open visiting hours and encourages visits from residents’ family. Family interviewed stated they felt welcome when they visited and comfortable in their dealing with management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minor complaints book reviewed showed that two minor complaints have been received over the past year and that actions taken, through to an agreed resolution,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Families/residents interviewed report being made aware of the Code and the Nationwide Health and Disability Advocacy Service through the pre-admission and admission process and this was validated at time of interview and with the assistance of an interpreter from WDHB. Information is provided in the resident information brochure and the information provided on admission. Language is not a barrier as staff interviewed speak Chinese and English. Staff discuss the Code with the family and the individual resident on admission. The Code is displayed in Chinese (Mandarin and Cantonese) in the reception of the facility and brochures are also available in the appropriate language. Information on advocacy and how to make a complaint were observed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families and the general practitioner (GP) interviewed confirmed that services are provided in a manner that has regard for residents’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need to maintain privacy and were observed doing so throughout the audit. All residents have their own individual rooms. One couple share two rooms (one used for their bedroom and one for their lounge). Residents are able to have their own belongings and an inventory was maintained in each individual record reviewed. All residents except for one resident identify as Chinese. The one resident has resided at this facility for a long period of time and is very happy at this facility. Staff understand and accommodate their individual needs.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through participating in community activities, being assisted to appointments and participation in church, Chinese markets and other outings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care plans and activities plans reviewed documented information related to the individual resident’s abilities, interests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spiritual and social needs, values and beliefs had been identified during the admission process and were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service’s policy on abuse and neglect including what to do should there be any signs and/or symptoms. Education on abuse and neglect is part of the orientation programme for staff and is then provided on an annual basis as confirmed in individual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or staff who identify as Maori at this facility. The principles of the Treaty of Waitangi are incorporated into the day to day practice as is the importance of family to Chinese residents as well. There is a Maori health plan developed in the policy manual. A list of resources and contact details of local cultural advisors and the Waitemata District Health Board (WDHB) Maori health advisory team if and when required. Guidance on tikanga best practice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residents/families interviewed verified that they were consulted on their individual culture, values and beliefs and that staff respected these. Residents’ personal preferences, required interventions and special needs were included in all care plans and activities plans reviewed. Residents interviewed with an interpreter from WDHB being present verified that their spiritual needs were met by staff taking some residents to church in the community and a church service is held at the rest home twice a week. Alternatively, bible reading occurs weekly with a group of residents. A resident satisfaction survey questionnaire sighted included evaluation of how well residents’ cultural and individual needs are met. Positive survey feedback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form or type of discrimination, harassment or exploitation and they or their family member felt safe and secure. The general practitioner interviewed also expressed satisfaction with the standard of services provided to residents. The orientation/induction process for staff includes orientation related to professional boundaries and expected behaviours. All registered nurses have records of completion of the required training on professional boundaries. Staff are provided with house rules as part of their employment contract. Ongoing education is provided on an annual basis which was confirmed in the staff training records reviewed. Staff are guided by policies and procedures and when interviewed, demonstrated a clear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education, input from external specialist services and allied health professionals as required.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attending external education mostly provided through the WDHB or the gerontology nurse specialist who visits on a regular basis. The residents, who are all Chinese except for one resident who is a Pakeha New Zealander, participate in the activities provided that meet the cultural needs and expectations to maintain independence and wellbeing.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all changes to their relative’s health status and were advised in a timely manner about any incidents or accidents. This was supported in the sample of residents’ records reviewed. There is also evidence of 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WDHB interpreter service was accessed on a referral basis to assist with this audit. Staff are also able to provide interpretation as and when needed and family members are used as appropriate for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philosophy, scope, direction and goals of the organisation. The documents described annual and longer term objectives and the associated operational plans. A sample of monthly reports to the owner/director and quarterly reviews showed adequate information to monitor performance is reported including occupancy, complaints, incidents and accidents, staff training,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three years. Responsibilities and accountabilities are defined in a job description and individual employment agreement.  The facility manager confirmed knowledge of the sector, regulatory and reporting requirements and maintains currency through attendance at monthly Auckland Asian facility owners’ meetings, two monthly Residential Aged Care Integration Programme meetings, clinical education and holds a current first aid certificate. The facility manager is supported by the owner/director.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Waitemata District Health Board (WDHB) for rest home level care services including respite care. All 21 residents were receiving services under the Age Related Residential Care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owner/director carries out all the required duties under delegated authority. The clinical management is overseen by two registered nurses who can work across any of the three facilities owned by the owner/director. They relieve each other as required to cover leave. They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pressure injuries, falls and skin tears. All items are reviewed at the quarterly review meetings by the facility manager and owner/director as confirmed in meeting minutes sighted. The review includes a written report related to any corrective actions implemented or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meetings and staff meetings. Staff reported their involvement in quality and risk management activities through the implementation of corrective actions. Relevant corrective actions are developed and implemented to address any shortfalls. Resident and family satisfaction surveys are completed annually. The March 2019 survey showed residents and families were satisfied with cares and services. One issue raised related to residents wishing to have more indoor activities over winter. This was fully addressed by the service and was supported on the days of audit during resident and family interviews undertaken with the assistance of an interpreter, observation of activities and documentation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are personalised to the service and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manager is familiar with the Health and Safety at Work Act (2015) and has implemented requirements.   Responses undertaken to manage identified risks are fully documented in the business risk and hazard analysis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facility manager, owner/director and at staff meetings as confirmed in meeting minutes sighted and during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issues-based audits and any other notifications such as to public health during this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Staff files identified that annual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Regular on-site education is presented including input from the WDHB gerontology nurse specialist as confirmed in documentation sighted. Staff training is clearly documented in each staff member’s file and this identifies that off-site training is undertaken such as first aid and WDHB training days. Kitchen staff have completed food safety education and cleaning and laundry staff have completed safe chemical handling. The registered nurses ensure they undertake education and training to a required level to meet Nursing Council requirements. There are sufficient trained and competent registered nurses (two) who are maintaining their annual competency requirements to undertake interRAI assessments. Records reviewed demonstrated completion of the required training and completion of annual performance appraisals related to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Staffing levels meet the interRAI acuity level report findings.  Observations and review of six weeks of rosters confirmed adequate staff cover has been provided, with staff replaced in any unplanned absence.  At least one staff member on duty has a current first aid certificate. There is registered nurse cover four days a week and on call.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works Monday to Friday and is on call, kitchen staff cover from 7.30am to 1pm and 3pm to 8pm seven days a week, laundry staff work 8.30am to 1.30pm seven days a week and cleaning staff work 9am to 1.30pm five days a week. The owner/director visits the facility Monday to Friday and is on call.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personal details, next of kin, contact numbers, personal, clinical and health information was fully completed in the sample of resident’s records reviewed. Clinical notes were current and integrated with the GP and allied health service provider notes as applicable. This includes interRAI assessment information entered into the Momentum electronic database. Records were legible with the name and designation of the person making the entry identifiable.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records are held for the required timeframe before being destroyed. No personal or private resident information was on public display during the audit. Residents have given permission on admission to have their names on the door to their individual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 required level of care has been determined and confirmed by the local Needs Assessment and Service Coordination (NASC) Service. Prospective residents and/or their family are encouraged to visit the facility prior to admission and meet the facility manager and staff. They are also provided with written information about the service and the admission process. The organisation seeks updated information from the WDHB and the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(all spoke English) stated that they were satisfied with the admission process and the information that had been made available to them on admission. Records reviewed contained completed demographic details, assessments and signed admission agreements in accordance with contractual requirements. The confidential signed admission agreements are stored in the facility manager’s office in a locked filing cabinet.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 service uses the DHB’s ‘yellow envelope’ system to facilitate transfer or residents to and from acute care services. A transfer form is completed. At the time of transition between services appropriate information including the most recent interRAI assessment, medication record and any advance directives are provided for the ongoing management of the resident.  Safety was considered and family notified of a transfer and the care plan is updated. All copy of the referrals are kept in the resident’s individual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completes medication reconciliation when packs are received from the pharmacy.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No controlled drugs were stored or in use. The sample of ten medication records evidenced that allergies/sensitivities were inconsistently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Short course, discontinued medicines requirements for pro re nata (PRN) medicines were met. It was observed that requirements for pro re nata (PRN) were not fully met with outcomes of PRN medication administered not being documented and/or the registered nurse not being contacted. The required three-monthly GP review was consistently recorded on the electronic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Appropriate processes are in place to ensure this is managed in a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qualified chefs and is in line with recognised nutritional guidelines for older people.  The menu follows summer and winter cycles and has been reviewed by a qualified dietitian within the last two years (dated 18 February 2019). The menus are displayed each day in Chinese and English.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food service operates with an approved food control plan dated expiry 17 July 2020. Food temperatures, including for high risk items, are monitored appropriately and recorded as part of the plan. The chefs have completed safe food handling qualification, and kitchen assistants have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completed for each resident on admission to the facility and a dietary profile developed.  The personal food preferences, any special diets and modified texture requirements are made known to kitchen staff and accommodated in the daily meal plan. Interviewed residents and family reported that food alternatives provided per request.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members reported satisfaction with the food provided. Satisfaction surveys and resident meeting minutes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for rest home level care or there is no vacancy the local NASC is advised to ensure the prospective resident and family are supported to find an appropriate care alternative. If a resident required a higher level of care than the services offers a referral for reassessment to the NASC service and a new placement is found in consultation with the resident and family. Examples of this were discussed with the facility manager and the registered nurse. There is a clause in the service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recognised nursing assessment tools, such as a pain scale, falls risk, skin integrity, dietary profiles and depression scales, as a means to identify any deficits and to inform care planning. The sample of care plans reviewed had an integrated range of resident related information. All residents have current interRAI assessments completed by one of the two trained interRAI assessors on site. Another registered nurse is available from one of the other facilities owned by the organisation if needed to complete and cover the registered nurses at this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Care plans evidence service integration with nursing progress records, activities records, and GP records being clearly written, informative and relevant. Any changes in care required is documented and verbally passed on to relevant staff. Residents and family reported participation in the development and ongoing evaluation of care plans. Short term care plans are developed and implemented if any problems or issues arise and these are reviewed as clinically indicated until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provided to residents was consistent with their assessed needs, goals and the plan of care.  The attention to meeting a diverse range of resident’s individualised needs was evident in all areas of service provision.  The GP interviewed, verified that medical input is sought in a timely manner, that medical orders are followed, and care is provided as required.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coordinator and staff. The activities coordinator is responsible for completing the activities assessment for all residents on admission with input from the resident or family, where appropriate. A social assessment and history are completed on admission to ascertain the resident’s needs, interests, abilities and social requirements. Individual activities plans were sighted in files reviewed. There is a monthly and weekly activities programme. The weekly activities programme is posted on the notice board and documented in both Chinese and English. There are group activities and individual activities. The activities are planned for rest home level residents who are all mobile.  However, residents who want to attend other activities with family can do so freely. Residents have access to community events and community outings. Residents were observed participating in various activities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are regularly reviewed to help formulate an activities programme that is meaningful to the residents. An activities participating record is completed daily by the activities coordinator. The resident’s activity needs are evaluated as part of the formal six-monthly care plan review with input from the activities coordinator.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Residents and families/whānau are involved in evaluating and improving the programme through residents’ meetings and satisfaction surveys. Residents interviewed in a group (with an interpreter) reported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by the healthcare assistants (HCAs).  Any change noted, is reported to the RNs. The RNs documents in the progress notes at least weekly. There is a process for evaluating the long-term care plans and interRAI assessments six-monthly.</w:t>
            </w:r>
          </w:p>
          <w:p w:rsidR="00EB7645" w:rsidRPr="00BE00C7" w:rsidP="00BE00C7">
            <w:pPr>
              <w:pStyle w:val="OutcomeDescription"/>
              <w:spacing w:before="120" w:after="120"/>
              <w:rPr>
                <w:rFonts w:cs="Arial"/>
                <w:b w:val="0"/>
                <w:lang w:eastAsia="en-NZ"/>
              </w:rPr>
            </w:pPr>
            <w:r w:rsidRPr="00BE00C7">
              <w:rPr>
                <w:rFonts w:cs="Arial"/>
                <w:b w:val="0"/>
                <w:lang w:eastAsia="en-NZ"/>
              </w:rPr>
              <w:t>Where resident’s progress is different from expected, the service responds by initiating changes to the plan of care. Short term care plans were being consistently reviewed and progress evaluated as clinically indicated. Residents and families/whānau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supported to access or seek referral to other health and disability service providers. Although the service has a resident GP residents may choose another medical practitioner. If the need for other non-urgent services is indicated or requested, the GP sends a referral to seek specialist input. Copies of referral were sighted in resident’s hard copy records including, radiology, dentist, podiatry and other services.</w:t>
            </w:r>
          </w:p>
          <w:p w:rsidR="00EB7645" w:rsidRPr="00BE00C7" w:rsidP="00BE00C7">
            <w:pPr>
              <w:pStyle w:val="OutcomeDescription"/>
              <w:spacing w:before="120" w:after="120"/>
              <w:rPr>
                <w:rFonts w:cs="Arial"/>
                <w:b w:val="0"/>
                <w:lang w:eastAsia="en-NZ"/>
              </w:rPr>
            </w:pPr>
            <w:r w:rsidRPr="00BE00C7">
              <w:rPr>
                <w:rFonts w:cs="Arial"/>
                <w:b w:val="0"/>
                <w:lang w:eastAsia="en-NZ"/>
              </w:rPr>
              <w:t>Referrals ae followed up on a regular basis by the GP. The resident and the family are kept well informed of the referral process as verified by the documentation and interviews. Any acute referrals are attended to immediately such as sending a resident to accident and emergency in an ambulance if the circumstances dictate. All care staff have completed first aid certificated courses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27 July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any requests are appropriately actioned. This is confirmed in documentation sighted. Residents and family stated they were happy with the environment and that their needs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all bedrooms having a toilet and hand basin ensuite. There are two common shower areas.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There is one couple who have a bedroom each but have chosen to use one as their bedroom and one as their lounge.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walking frames. All residents are independently mobile.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in safe chemical handling as confirmed in staff file reviews.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Ministry of Civil Defence and Emergency Management recommendations for the region are met related to appropriates stocks of water and food.  There are also adequate supplies of blankets, mobile phones, alternative cooking such as gas BBQ if required for use in the event of a civil defence emergency. Stocks sighted meet the requirements for the 21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on the 28 August 2012.   </w:t>
            </w:r>
          </w:p>
          <w:p w:rsidR="00EB7645" w:rsidRPr="00BE00C7" w:rsidP="00BE00C7">
            <w:pPr>
              <w:pStyle w:val="OutcomeDescription"/>
              <w:spacing w:before="120" w:after="120"/>
              <w:rPr>
                <w:rFonts w:cs="Arial"/>
                <w:b w:val="0"/>
                <w:lang w:eastAsia="en-NZ"/>
              </w:rPr>
            </w:pPr>
            <w:r w:rsidRPr="00BE00C7">
              <w:rPr>
                <w:rFonts w:cs="Arial"/>
                <w:b w:val="0"/>
                <w:lang w:eastAsia="en-NZ"/>
              </w:rPr>
              <w:t>A trial evacuation takes place six-monthly with a copy sent to the New Zealand Fire Service, the most recent being on 26 March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monthly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by staff on duty. There are close circuit cameras in the common areas which are monitored in the facility manager’s office. There is appropriate signage for this to occur and residents and family members confirmed their knowledge of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12 bedrooms have an external door leading out onto a decked area. Heating is provided by wall mounted electric heaters in residents’ rooms and gas heating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by the implementation of an appropriate infection prevention and control (IPC) programme. Infection prevention and control is guided by a comprehensive and current infection manual, with input from the RN. The infection control programme and manual are reviewed annually. Staff interviewed are aware of when not to come to work and when to return after being ill. There have been no outbreaks of infection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who is the infection control coordinator has appropriate skills, knowledge and qualifications for the role and has been in this position for approximately one year. The RN works at a large aged residential care service on a part time basis and has completed relevant educational requirements for this role. The RN can also access the WDHB infection control prevention team if needed and expert advice is available from the community laboratory and/or the GP. The GP interviewed stated that advice can be sought from the contracted medical practice at any time. The coordinator has access to the resident’s records and diagnostic results to ensure timely treatment and/or resolution of any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good practice. Policies were last reviewed in 2019 and included appropriate referencing. Care delivery, cleaning, laundry and kitchen staff were observed following organisational policies, such as appropriate use of hand-sanitisers, good hand washing techniques and use of personal protective resources when necessary. Hand washing facilities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prevention and control programme. Interviews, observation and documentation verified staff have received training in infection prevention and control at orientation and ongoing educational sessions annually. Education is provided by the registered nurses. Content of the training was documented and evaluated to ensure it was relevant, current and understood. A record of all attendance was maintained. Separate training is provided for all domestic staff centred on good hygiene and food safety requirements. There have been no outbreaks of infection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residents/family is generally on a one-on-one basis and handwashing is the most important topic covered.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infections is carried out in accordance with agreed objectives, priorities and the methodology that is specified in the infection control programme. The surveillance programme reviewed is appropriate for this rest home. Surveillance forms have been developed and implemented for the reporting of infections. Information gained is reported as part of the quality management system requirements and quality improvement objectives on a monthly basis with quarterly overview/analysis. Any immediate trends are reported to staff to implement actions. The infection data evidences minimal numbers of infections. Where there has been any increase, such as an increase in urinary infections, actions were implemented to reduce the reoccurrence.</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are kept well informed and understood their responsibilities for reporting any signs and symptoms of a resident having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Policy identifies that the facility will endeavour to be restraint free as confirmed by staff and in meeting minutes.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facility was restraint free. Policy identifies that enablers are to be the least restrictive and used voluntarily at their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would only be used as a last resort when all alternatives have been explored. The annual restraint review includes management and frequency of challenging behaviour. The 2018 review identifies no occurrences and the same for the 2019 review to date of this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1"/>
        <w:gridCol w:w="1280"/>
        <w:gridCol w:w="6041"/>
        <w:gridCol w:w="2426"/>
        <w:gridCol w:w="16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medication records was observed on the electronic system and hard copy records for insulin management for residents who were diabetic. Instructions were provided for the level of action for when a resident’s blood sugar level was low or above the normal accepted level. PRN insulin was prescribed. One resident was administered insulin prescribed by the GP for two incidents when PRN was required but the outcome of administration was not able to be followed through in either the electronic record or hard copy record reviewed, that a repeat blood sugar level was completed and/or that the registered nurse was contacted.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allergies/sensitivities were documented in several places on the residents’ records and were inconsistently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 of medication records reviewed evidenced that allergies and sensitivities were inconsistently recorded. One resident who has PRN insulin administered as prescribed by the GP has no detailed recording of the outcome for the PRN insulin given.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record the outcome, including follow-up blood sugars levels and RN notification following administration of PRN insulin and that allergies are consistently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Y&amp;P NZ Limited - Deverton House Rest Home</w:t>
    </w:r>
    <w:bookmarkEnd w:id="58"/>
    <w:r>
      <w:rPr>
        <w:rFonts w:cs="Arial"/>
        <w:sz w:val="16"/>
        <w:szCs w:val="20"/>
      </w:rPr>
      <w:tab/>
      <w:t xml:space="preserve">Date of Audit: </w:t>
    </w:r>
    <w:bookmarkStart w:id="59" w:name="AuditStartDate1"/>
    <w:r>
      <w:rPr>
        <w:rFonts w:cs="Arial"/>
        <w:sz w:val="16"/>
        <w:szCs w:val="20"/>
      </w:rPr>
      <w:t>5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