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Fulton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Fulton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August 2019</w:t>
      </w:r>
      <w:bookmarkEnd w:id="7"/>
      <w:r w:rsidRPr="009418D4">
        <w:rPr>
          <w:rFonts w:cs="Arial"/>
        </w:rPr>
        <w:tab/>
        <w:t xml:space="preserve">End date: </w:t>
      </w:r>
      <w:bookmarkStart w:id="8" w:name="AuditEndDate"/>
      <w:r w:rsidR="00A4268A">
        <w:rPr>
          <w:rFonts w:cs="Arial"/>
        </w:rPr>
        <w:t>22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Fulton Care Centre provides care for up to 93 residents across three service levels (rest home, hospital (medical and geriatric), and dementia).  On the day of audit, there were 92 residents in total.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and Ministry of Health.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 xml:space="preserve">Radius Fulton Care Centre have an established quality and risk management plan embedded into practice.  An induction and in-service training programme that provides staff with appropriate knowledge and skills to deliver care and support is in place.  The service continues to implement an electronic resident management system.  </w:t>
      </w:r>
    </w:p>
    <w:p w:rsidRPr="00A4268A">
      <w:pPr>
        <w:spacing w:before="240" w:line="276" w:lineRule="auto"/>
        <w:rPr>
          <w:rFonts w:eastAsia="Calibri"/>
        </w:rPr>
      </w:pPr>
      <w:r w:rsidRPr="00A4268A">
        <w:rPr>
          <w:rFonts w:eastAsia="Calibri"/>
        </w:rPr>
        <w:t>The facility manager has been in the role for 17 years.  The clinical manager registered nurse has been in the role for five years.  They are supported by a team of registered nurses and enrolled nurses, healthcare assistants and long-serving staff.</w:t>
      </w:r>
    </w:p>
    <w:p w:rsidRPr="00A4268A">
      <w:pPr>
        <w:spacing w:before="240" w:line="276" w:lineRule="auto"/>
        <w:rPr>
          <w:rFonts w:eastAsia="Calibri"/>
        </w:rPr>
      </w:pPr>
      <w:r w:rsidRPr="00A4268A">
        <w:rPr>
          <w:rFonts w:eastAsia="Calibri"/>
        </w:rPr>
        <w:t xml:space="preserve">This audit identified the service continues to meet all the standards. </w:t>
      </w:r>
    </w:p>
    <w:p w:rsidRPr="00A4268A">
      <w:pPr>
        <w:spacing w:before="240" w:line="276" w:lineRule="auto"/>
        <w:rPr>
          <w:rFonts w:eastAsia="Calibri"/>
        </w:rPr>
      </w:pPr>
      <w:r w:rsidRPr="00A4268A">
        <w:rPr>
          <w:rFonts w:eastAsia="Calibri"/>
        </w:rPr>
        <w:t>The service is commended for achieving continuous improvement ratings related to falls management, emergency procedures, the activities programme and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Health and Disability Commissioner (HDC)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facility manager and clinical manager are responsible for day-to-day operations.  Goals are documented for the service with evidence of regular reviews.  A quality and risk management programme is embedded in practice.  Results are shared with staff.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services from suitably qualified staff.  Human resources are managed in accordance with good employment practice.  An orientation programme is in place for new staff.  An education and training plan is being implemented and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plans and reviews residents' needs, outcomes and goals with the resident and/or family/whānau input.  InterRAI assessments are utilised and link to care plans.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senior healthcare assistants who are responsible for administration of medicines complete education and medication competencies.  The electronic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An activity programme is implemented for residents in the Glenedin (dementia) wing with 24-hour care plans in place.  There is a separate activity plan in place for rest home and hospital level residents, with combined whole facility activities planned each day.  Residents and relatives reported satisfaction with the activities programme.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 site by an external company.  Food, fluid, and nutritional needs of residents are provided in line with recognised nutritional guidelines and additional requirements/modified needs were being met.  Snacks are available in the Glenedin (dementia) wing 24 hours a day.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Radius Fulton Care Centre has a current building warrant of fitness.  Reactive and preventative maintenance is carried out.  Medical equipment and electrical appliances have been calibrated.  There is a designated laundry at the site, which includes the safe storage of cleaning and laundry chemicals.  There is a documented process for waste management.  Residents’ rooms are spacious and allow services to be provided and for the safe use and manoeuvring of mobility aids.  There are sufficient communal areas within the rest home, hospital and dementia areas that include lounge and dining areas, and smaller seating areas.  </w:t>
      </w:r>
    </w:p>
    <w:p w:rsidRPr="00A4268A">
      <w:pPr>
        <w:spacing w:before="240" w:line="276" w:lineRule="auto"/>
        <w:rPr>
          <w:rFonts w:eastAsia="Calibri"/>
        </w:rPr>
      </w:pPr>
      <w:r w:rsidRPr="00A4268A">
        <w:rPr>
          <w:rFonts w:eastAsia="Calibri"/>
        </w:rPr>
        <w:t>The service has implemented policies and procedures for civil defence and other emergencies and six-monthly fire drills are conducted.  All registered nurses have a first aid certificate.</w:t>
      </w:r>
    </w:p>
    <w:p w:rsidRPr="00A4268A">
      <w:pPr>
        <w:spacing w:before="240" w:line="276" w:lineRule="auto"/>
        <w:rPr>
          <w:rFonts w:eastAsia="Calibri"/>
        </w:rPr>
      </w:pPr>
      <w:r w:rsidRPr="00A4268A">
        <w:rPr>
          <w:rFonts w:eastAsia="Calibri"/>
        </w:rPr>
        <w:t xml:space="preserve">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for the safe assessment and review of restraint and enabler use.  A register is maintained.  There were nine (hospital level) residents using enablers (bedrails) and two (hospital level) residents using bedrails as restraint during the audit.  Assessment and evaluation processes were being implemented.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29"/>
        <w:gridCol w:w="1280"/>
        <w:gridCol w:w="88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Fulton Care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in-service programme.  Interviews with nineteen staff: six healthcare assistants (HCAs) (four on the AM and two on the PM shifts), six registered nurses (RNs), two activities staff, two caterers, one maintenance staff, one office manager, one laundry) confirmed their understanding of the Code and its application to their job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informed consent policy and procedure that directs staff clearly in relation to the gathering of informed consent.  Ten resident files reviewed (four from the hospital including one LTS-CHC and one ACC, three dementia and three rest home level care), included consent for transporting, photographs and provision of care.</w:t>
            </w:r>
          </w:p>
          <w:p w:rsidR="00EB7645" w:rsidRPr="00BE00C7" w:rsidP="00BE00C7">
            <w:pPr>
              <w:pStyle w:val="OutcomeDescription"/>
              <w:spacing w:before="120" w:after="120"/>
              <w:rPr>
                <w:rFonts w:cs="Arial"/>
                <w:b w:val="0"/>
                <w:lang w:eastAsia="en-NZ"/>
              </w:rPr>
            </w:pPr>
            <w:r w:rsidRPr="00BE00C7">
              <w:rPr>
                <w:rFonts w:cs="Arial"/>
                <w:b w:val="0"/>
                <w:lang w:eastAsia="en-NZ"/>
              </w:rPr>
              <w:t>Training is provided to support staff to provide care and support and enable residents to make choices and be involved in the service.  Interviews with healthcare assistants identified that consents are sought in the delivery of personal cares.  Written consent includes the signed admission agreements.  All ten resident files reviewed included signed consent forms signed by the resident/family/whānau/EPOA.  The advanced directives/resuscitation policy was implemented in the resident files reviewed.  All advance directives are completed by the resident where able, the GP and discussion with relatives is documented.  The three dementia files included activated EPOAs.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family/EPOA to be involved in decisions.  The residents’ files sampled included information on residents’ family/whānau and chosen social networks. </w:t>
            </w:r>
          </w:p>
          <w:p w:rsidR="00EB7645" w:rsidRPr="00BE00C7" w:rsidP="00BE00C7">
            <w:pPr>
              <w:pStyle w:val="OutcomeDescription"/>
              <w:spacing w:before="120" w:after="120"/>
              <w:rPr>
                <w:rFonts w:cs="Arial"/>
                <w:b w:val="0"/>
                <w:lang w:eastAsia="en-NZ"/>
              </w:rPr>
            </w:pPr>
            <w:r w:rsidRPr="00BE00C7">
              <w:rPr>
                <w:rFonts w:cs="Arial"/>
                <w:b w:val="0"/>
                <w:lang w:eastAsia="en-NZ"/>
              </w:rPr>
              <w:t>A health and disability advocate is an invited speaker at resident/family meetings and at staff training on the Code, addressing the role of advocacy services (29 May 2019).  Links to HDC advocacy services are provided to complainants.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The activities programme includes opportunities to attend events both within and outside of the facility.  Resident/family meetings are held each month.  Relatives and friends are encouraged to be involved with the service and care.  The staff described how they maintain community connections and support residents to maintain community networks and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at the entrance to the facility.  Information about complaints is provided on admission.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relatives confirmed their understanding of the complaints process with examples provided.  Staff interviewed were able to describe the process of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includes complaints received, dates and actions taken.  The facility manager signs off each complaint when it is closed.  Two complaints have been lodged in 2019 (year to date) and five complaints were received in 2018. </w:t>
            </w:r>
          </w:p>
          <w:p w:rsidR="00EB7645" w:rsidRPr="00BE00C7" w:rsidP="00BE00C7">
            <w:pPr>
              <w:pStyle w:val="OutcomeDescription"/>
              <w:spacing w:before="120" w:after="120"/>
              <w:rPr>
                <w:rFonts w:cs="Arial"/>
                <w:b w:val="0"/>
                <w:lang w:eastAsia="en-NZ"/>
              </w:rPr>
            </w:pPr>
            <w:r w:rsidRPr="00BE00C7">
              <w:rPr>
                <w:rFonts w:cs="Arial"/>
                <w:b w:val="0"/>
                <w:lang w:eastAsia="en-NZ"/>
              </w:rPr>
              <w:t>Both complaints received in 2019 were reviewed.  One of the complaints was lodged with HDC (29 March 2019) and has been closed by HDC (27 May 2019).  The two complaints reviewed were managed in a timely manner, meeting requirements determined by HDC.  Evidence of family meeting minutes were sighted and both complainants were provided with contact details for advocacy and support.  Both complaints were documented as resolved and closed.  Regarding the complaint lodged with HDC, corrective actions were documented on a corrective action plan register with evidence to support their implementation.  This included staff education/toolbox talks.</w:t>
            </w:r>
          </w:p>
          <w:p w:rsidR="00EB7645" w:rsidRPr="00BE00C7" w:rsidP="00BE00C7">
            <w:pPr>
              <w:pStyle w:val="OutcomeDescription"/>
              <w:spacing w:before="120" w:after="120"/>
              <w:rPr>
                <w:rFonts w:cs="Arial"/>
                <w:b w:val="0"/>
                <w:lang w:eastAsia="en-NZ"/>
              </w:rPr>
            </w:pPr>
            <w:r w:rsidRPr="00BE00C7">
              <w:rPr>
                <w:rFonts w:cs="Arial"/>
                <w:b w:val="0"/>
                <w:lang w:eastAsia="en-NZ"/>
              </w:rPr>
              <w:t>The complaints process is linked to the quality and risk management system.  There is evidence of lodged complaints being discussed in the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Twelve residents (four rest home, eight hospital) and seven relatives (five hospital, two dementia) interviewed, confirmed that information had been provided to them around the Code.  Posters of the Code and advocacy information are displayed in English and in Māori.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premises confirmed there were areas that support personal privacy for residents.  During the audit staff were observed to be respectful of residents’ privacy by knocking on doors prior to entering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this includes family involvement.  Interviews with residents confirmed their values and beliefs were considered.  HCAs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policy for the organisation provides recognition of Māori values and beliefs.  Family/whānau involvement is encouraged in assessment and care planning and visiting is encouraged.  Links are established with disability and other community representative groups as requested by the resident/family.  Māori cultural needs are addressed in a specific Māori health plan.  Rooms are blessed following the death of a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was one (rest home level) Māori resident living at the facility who was interviewed during the audit and confirmed that her values and beliefs were being met.  A Māori health plan has been developed for this resident although she does not identify with any specific Māori customs.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the resident’s admission to the facility, an initial care planning meeting is carried out where the resident and/or whānau as appropriate are invited to be involved.  All ten resident files reviewed evidenced that individual beliefs or values are discussed and incorporated into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Six-monthly multidisciplinary team meetings occur to assess if needs are being met.  Family are invited to attend.  Discussions with relatives confirmed that residents’ values and beliefs are considered.  Residents interviewed confirmed that staff take into account their values and beliefs.  Activities and entertainment include celebrating various cultural days/events.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a code of conduct.  The facility manager and clinical manager supervise staff to ensure professional practice is maintained in the service.  The abuse and neglect processes cover harassment and exploitation.  Staff attend annual training on recognising abuse and neglect.</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responsibilities of the position, ethics, advocacy and legal issues.  A code of conduct agreement is signed by staff during their orientation.  The monthly staff meetings include discussions around professional boundaries and concerns as they arise.  Interviews with the managers and care staff confirmed their awareness of professional boundaries.  Management provided guidelines and examples of mentoring for specific situations.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that the staff respect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Staffing policies cover pre-employment processes and the new employee’s requirement to attend orientation and ongoing in-service training.  The managers are responsible for implementation of the internal audit programme.  Monthly staff meetings and regular residents’ meetings are conducted.  There is a regular in-service education and training programme for staff.  Staff interviewed stated that they feel supported by the facility manager and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A house general practitioner (GP) visits the facility twice per week.  The service receives support from the local district health board (DHB).  Physiotherapy services are available two days a week and have additional support from a designated physiotherapy assistant.  A podiatrist visits every six to eight weeks.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received four ratings of continuous improvement (CI) where the facility has exceeded what is required in the health and disability support standard.  These CIs address strategies to manage residents’ falls, emergency evacuation procedures, the activities programme and infection control (link 1.2.3.8, 1.2.4.1, 1.3.7.1, 3.5.7).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spoke positively about the care and support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electronic system.  All 15 accidents/incidents reviewed met this requirement.  Family members interviewed commented that they are notified following a change of health status of their family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Family/resident meetings provide a venue where issues can be addressed.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interpreter policy in place and contact details of interpreters were available.  Staff and family are used as interpreters in the first instance.  There were no residents at the care facility at the time of the audit who were unable to speak/understand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Fulton Care is part of the Radius Residential Care group.  The service provides rest home, dementia and hospital (geriatric and medical) levels of care.  Over this two-day audit, there were 92 residents living at the facility with 93 beds available.  There are 18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Twenty-two residents were rest home level (including one resident funded by ACC).  Eighteen residents were in the 19-bed dementia unit including one respite, and fifty-two residents were hospital level (including one resident on a long-term support – chronic health conditions (LTS-CHC) contract, one on a DHB close in age and interest contract, and two residents funded by ACC).  All remaining residents were on an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been in the role for the past 17 years.  The clinical manager (RN) has been in the role for five years, having previously been a clinical manager at another Radius facility.  The facility manager reports to a regional manager who was present during the audit.  The facility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organisation has a philosophy of care, which includes a mission statement.  Radius has an overall strategic plan (July 2018 – March 2021) and Fulton Care has a facility business plan (April 2017 to March 2020) that links to the strategic plan.  Annual business plan targets (2019/2020) are established and progress to meeting the goals are reviewed quarterly.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manager/RN covers during the temporary absence of the facility manager.  For extended absences, Radius has interim (roving) facility managers who cover facility manager absences.  The regional manager is available on a consultative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are reported in staff meetings and to the regional manager.  Discussions with the managers and staff reflected the staff’s involvement in quality and risk management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resident/relative surveys were last completed in May 2019 with 50 responses.  Results have been collated and discussed with staff.  A corrective action was implemented to address food temperatures, which has been implemented with positive results (evidenced on a food survey completed July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adhering to relevant standards - including those standards relating to the Health and Disability Services (Safety) Act 2001.  The service's policies are reviewed at a national level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Processes are embedded to collect, analyse and evaluate data, which is utilised for service improvements.  There are guidelines and templates for reporting.  Key performance indicators (KPIs) are established.  Where results exceed what is expected, a corrective action plan is implemented.  They are tracked on a corrective action register.  Corrective actions are evaluated and signed off when completed.  Results are communicated to staff in meetings and on staff noticeboards.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Four health and safety annual objectives are developed and regularly reviewed.  The health and safety officer (office manager) was interviewed.  Risk management, hazard control and emergency policies and procedures are being implemented.  The site-specific hazard register was last reviewed in June 2019 and the general hazard register developed by head office was last reviewed in May 2019.  Staff training begins during their induction to the service and continues through in-services and monthly staff meetings.  An induction programme is also being implemented for external contractors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corrective action plans are implemented which has resulted in a rating of continuous improvement.  Numerous strategies to reduce falls reflect evidence of successful results (eg, intentional rounding, vitamin D, exercise programmes to improve the residents’ balance, sensor mats).  Falls are consistently below the benchmark of 25 falls per month.  One family interviewed (hospital) remarked that her mother was a high risk of falling with over 17 falls occurring at another facility over a one-month period of time.  Her mum has had no falls at this facility over the past month.  She felt that this was the result of encouraging her mum to sit in the lounge vs remain alone in her room for monitoring purposes and the use of a sensor mat.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electronically for each incident/accident with action(s) noted and any follow-up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15 accident/incident forms identified that forms were fully completed and included follow-up by a registered nurse and sign off by the clinical manager.  Accident/incident forms were completed when a pressure injury is identified.  Neurological observations were completed for any suspected injury to the head or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regional manager were able to identify situations that would be reported to statutory authorities including (but not limited to): infectious diseases, serious accidents and unexpected death.  There was evidence of three Section 31 reports completed (resident aggression, stage three pressure injury, allegation of theft).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Nine staff files reviewed (two RNs, six HCAs, one cleaner) included a recruitment process (interview process, reference checking, police check), signed employment contracts and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and includes a system for determining staff competency across a range of topics (eg, falls prevention, communication, restraint, basic cares/observations, aging process, infection control, informed consent).  There is an implemented annual education and training plan that meets contractual requirements.  In-service education is complimented with impromptu (toolbox) talks and competency assessments.  There is an attendance register for each training session and an individual staff member record of training.  Performance appraisals were up to date in the staff files reviewed of staff who had been employed for one year or longer.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Ten registered nurses are employed, and five registered nurses have completed their interRAI training.  There are implemented competencies for registered nurses including (but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There is a total of 42 HCAs with 16 HCAs having either careerforce level 1 or 2 and 26 HCAs have completed either level 3 or 4.  There were 11 caregivers who worked in the dementia unit.  Ten had completed their required dementia qualification and the one remaining caregiver was in the process of completing.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Rosters implement the staffing rationale across four wings:  Both the facility manager and clinical manager are RNs with current practising certificates who work Monday – Friday.  Registered nursing staff are rostered across all three shifts with a minimum of one RN (night shift) seven days a week.  Use of agency staff has not been required.</w:t>
            </w:r>
          </w:p>
          <w:p w:rsidR="00EB7645" w:rsidRPr="00BE00C7" w:rsidP="00BE00C7">
            <w:pPr>
              <w:pStyle w:val="OutcomeDescription"/>
              <w:spacing w:before="120" w:after="120"/>
              <w:rPr>
                <w:rFonts w:cs="Arial"/>
                <w:b w:val="0"/>
                <w:lang w:eastAsia="en-NZ"/>
              </w:rPr>
            </w:pPr>
            <w:r w:rsidRPr="00BE00C7">
              <w:rPr>
                <w:rFonts w:cs="Arial"/>
                <w:b w:val="0"/>
                <w:lang w:eastAsia="en-NZ"/>
              </w:rPr>
              <w:t>Glenedin (dementia wing with 18 residents): One RN covers the AM shift (shared with the McKenzie wing).  The AM shift is staffed with two long (eight hour) shift HCAs, the PM shift is staffed with one long and two short shift HCAs and the night shift is staffed with one long shift HCA.</w:t>
            </w:r>
          </w:p>
          <w:p w:rsidR="00EB7645" w:rsidRPr="00BE00C7" w:rsidP="00BE00C7">
            <w:pPr>
              <w:pStyle w:val="OutcomeDescription"/>
              <w:spacing w:before="120" w:after="120"/>
              <w:rPr>
                <w:rFonts w:cs="Arial"/>
                <w:b w:val="0"/>
                <w:lang w:eastAsia="en-NZ"/>
              </w:rPr>
            </w:pPr>
            <w:r w:rsidRPr="00BE00C7">
              <w:rPr>
                <w:rFonts w:cs="Arial"/>
                <w:b w:val="0"/>
                <w:lang w:eastAsia="en-NZ"/>
              </w:rPr>
              <w:t>McKenzie wing (eight hospital and nineteen rest home residents): One RN covers the AM shift (shared with Glenedin wing).  The AM shift is staffed with three long shift HCAs, the PM shift is staffed with two long and one short shift HCA and the night shift is staffed with one HCA.</w:t>
            </w:r>
          </w:p>
          <w:p w:rsidR="00EB7645" w:rsidRPr="00BE00C7" w:rsidP="00BE00C7">
            <w:pPr>
              <w:pStyle w:val="OutcomeDescription"/>
              <w:spacing w:before="120" w:after="120"/>
              <w:rPr>
                <w:rFonts w:cs="Arial"/>
                <w:b w:val="0"/>
                <w:lang w:eastAsia="en-NZ"/>
              </w:rPr>
            </w:pPr>
            <w:r w:rsidRPr="00BE00C7">
              <w:rPr>
                <w:rFonts w:cs="Arial"/>
                <w:b w:val="0"/>
                <w:lang w:eastAsia="en-NZ"/>
              </w:rPr>
              <w:t>Brookside wing (20 hospital and three rest home residents): One RN covers the AM and PM shifts.  Two long shift and two short shift HCAs cover the AM shift and the PM shift (note: one HCA is shared with McKenzie on the PM shift).  One HCA covers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Lisburn wing (22 hospital and two rest home residents): One RN covers the AM and PM shifts.  Three long shift and one short shift HCAs are staffed on the AM shift and two long and two short shift are staffed on the PM shift.  One HCA covers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staffing is seven days a week in the dementia unit and five days a week for rest home and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cleaning and kitchen staff are separate to HCA staff.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reported that staff turnover was higher than expected, especially for registered nurses, but has stabilised.  Staff were observed attending to call bells in a timely manner.  Staff interviewed stated that overall the staffing levels were satisfactory.  Residents and family interviewed reported there were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were appropriate to the service type.  Data is entered electronically using eCase.  Cloud-based back-up storage is being implemented.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Entries were dated with electronic signatures by the relevant HCA or nurse.  A locked room stores archived (hard copy) residents’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levels of care are provided for families and residents prior to admission or on entry to the service.  All admission agreements reviewed aligned with all contractual requirements and kept within the electronic file.  Exclusions from the service were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interviewed described the nursing requirements as per the policy for discharge and transfers.  The yellow transfer envelope is used and the interRAI transfer form.  The advanced directive and resuscitation status are included.  The resident and relatives are consulted and kept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robotic packs for regular medications and blister packs for ‘as required’ (PRN) medications.  Medication reconciliation is completed by one RN and one medicine competent HCA on delivery of medication and any errors are fed back to pharmacy.  All medications were securely and appropriately stored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senior staff who administer medication have been assessed for competency on an annual basis.  Education around safe medication administration has been provided.  RNs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Twenty medication charts were reviewed (six rest home, eight hospital, and six dementia). The service uses an electronic medication management system.  All charts had evidence of three-monthly reviews by the GP, and all medications were prescribed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healthcare assistants interviewed could describe their role regarding medicine administration.  Standing orders were not used.  One resident was self-medicating, a competency was in place and reviewed by the GP on a three-monthly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were recorded weekly and these were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signed agreement with the pharmacy.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Radius Fulton are prepared and cooked on site by a contracted food service company.  The food service company operates the business from the commercial kitchen and provides meal services to several other aged care services and community colleges.  A food control plan is in place expiring 31 May 2020.  All fridge and freezer were checked and within ranges.  End-cooked meal temperature checks were completed and recorded and were within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company has a winter and summer menu, which has been reviewed by a dietitian (dietitian report sighted).  Meals are served directly by their staff to the residents in the main dining area via hot boxes.  Meals are delivered to the McKenzie and Glenedin wings via bain maries.  Healthcare assistants serve the residents’ meals in these areas.  </w:t>
            </w:r>
          </w:p>
          <w:p w:rsidR="00EB7645" w:rsidRPr="00BE00C7" w:rsidP="00BE00C7">
            <w:pPr>
              <w:pStyle w:val="OutcomeDescription"/>
              <w:spacing w:before="120" w:after="120"/>
              <w:rPr>
                <w:rFonts w:cs="Arial"/>
                <w:b w:val="0"/>
                <w:lang w:eastAsia="en-NZ"/>
              </w:rPr>
            </w:pPr>
            <w:r w:rsidRPr="00BE00C7">
              <w:rPr>
                <w:rFonts w:cs="Arial"/>
                <w:b w:val="0"/>
                <w:lang w:eastAsia="en-NZ"/>
              </w:rPr>
              <w:t>The food service company are responsible for ensuring that all kitchen staff are trained in safe food handling and that food safety procedures were adhered to.  Staff were observed assisting residents with their lunchtime meals and drinks.  Diets are modified as required and likes and dislikes are catered to.  Resident dietary profiles and likes and dislikes are known to food services staff and any changes are communicated to the kitchen, via the registered nurses or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Supplements are provided to residents with identified weight loss issues.  Weights are monitored monthly or more frequently if required and as directed by a dietitian.  Resident meetings and surveys allow the opportunity for resident feedback on the meals and food services generally.  Residents and relatives interviewed indicated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Snacks are supplied and available 24 hours per day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reasons for declining entry would be if the service is unable to provide the assessed level of care or there are no beds available.  Potential residents would be referred to the referring agency if entry were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nine long-term resident files sampled had interRAI assessments completed within expected timeframes.  Behaviour assessments and management plans were included in the files reviewed of residents in the Glenedin (dementia wing).  The respite resident had all appropriate risk assessments completed on each new admission and a care plan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assessment tools are available for use on the electronic system which are completed on admission if applicable.  These include (but not limited to); falls risk, moving and handling, pressure, pain, mini nutritional assessment and wound assessment.  The activities coordinators and DTs complete an activities assessment.  Assessments were noted to be completed on all electronic resident files reviewed and they were well linked to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individually developed with the resident, and family/whānau involvement is included where appropriate.  All ten care plans reviewed were evidenced to be reflective of residents’ current needs.  Goals and outcomes were identified and agreed and how care is to be delivered was explained.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sampled had an individualised long-term care plan that covers all areas of need identified.  Areas covered in the resident files sampled included (but are not limited to): behaviour, social and emotional needs, cultural needs, falls risk, ADLs, nutrition and social needs.  Service delivery plans demonstrated service integration.  Assessments and care plans were comprehensive and included input from allied health including geriatrician, mental health for older persons nurse practitioner, hospice dietitians, DHB wound nurse specialist, physiotherapy and podiatry.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visit.  Communication to the GP when a residents' change in health status was sighted in the resident’s files.  Residents and relatives interviewed stated their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with a facility acquired pressure injury (resolving stage two).  On the day of the audit there were twenty superficial wounds across the facility, and two chronic wounds including; one venous ulcer, and one complex fungating wound.  A sample of wounds were reviewed, all had assessments, plans and evaluations showed progression or deterioration of each wound.  The wound specialist nurse was involved with the chronic wounds.  GPs were notified of all wounds.  Adequate dressing supplies were sighted in the treatment rooms.  Staff receive regular education on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in place included (but were not limited to): monthly weight, blood pressure and pulse, food and fluid charts, repositioning, blood sugar levels, wound charts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long standing members of the activities team including two diversional therapists and one activity coordinator.  The activities coordinator provides activities in the rest home and hospital and one diversional therapist organises activities in the dementia unit.  The diversional therapist works across both areas.  There is a separate programme delivered for rest home/hospital and dementia residents.  The dementia unit programme is run over seven days.  All members of the activities team have completed dementia training.  Care staff in the dementia unit have access to equipment and provide a variety of activities when the activities staff are not present.  The activities programme caters for the needs of all levels of care provided at Radius Fulton Care Centre.  Twenty-four-hour care plans are in place in the Glenedin (dementia)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residents were observed being actively involved with a variety of activities in the hospital, rest home and the dementia unit.  The programme is developed weekly and displayed in large print.  All residents are given a weekly plan.  Residents have a leisure and lifestyle profile assessment completed over the first few weeks after admission, obtaining a complete history of past and present interests, career, and family.  A plan documenting appropriate activities to support behaviour management had been completed for dementia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observed in the dementia unit was appropriate for people with cognition and memory impairments.  The programme includes daily exercises, small group activities and one-on-one time.  Each day there are combined activities with the rest home/hospital residents, these are held either in the Glenedin (dementia) wing or in the main lounge.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age appropriate and are planned.  There are several programmes running that are meaningful and reflect ordinary patterns of life.  The programme is flexible and can be changed to reflect the residents needs on the day.  There are also visits from community groups.  The residents continue to participate in the two weekly ‘slot’ at the local radio station and residents across the facility have the opportunity to participate.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provide regular feedback around their likes and dislikes of the activity programme to the activity staff, through monthly resident meetings or following activities.  There is a resident action group which continues to meet on a two monthly basis and organise fundraisers such as ‘wiggie Wednesday’ where everyone pays to wear a wig, team quizzes and tombolas.  Relatives contribute and join in the fun.  </w:t>
            </w:r>
          </w:p>
          <w:p w:rsidR="00EB7645" w:rsidRPr="00BE00C7" w:rsidP="00BE00C7">
            <w:pPr>
              <w:pStyle w:val="OutcomeDescription"/>
              <w:spacing w:before="120" w:after="120"/>
              <w:rPr>
                <w:rFonts w:cs="Arial"/>
                <w:b w:val="0"/>
                <w:lang w:eastAsia="en-NZ"/>
              </w:rPr>
            </w:pPr>
            <w:r w:rsidRPr="00BE00C7">
              <w:rPr>
                <w:rFonts w:cs="Arial"/>
                <w:b w:val="0"/>
                <w:lang w:eastAsia="en-NZ"/>
              </w:rPr>
              <w:t>One resident is knitting for the chemotherapy unit, the neonatal unit and refugees, they have their spot in the Radius magazine.</w:t>
            </w:r>
          </w:p>
          <w:p w:rsidR="00EB7645" w:rsidRPr="00BE00C7" w:rsidP="00BE00C7">
            <w:pPr>
              <w:pStyle w:val="OutcomeDescription"/>
              <w:spacing w:before="120" w:after="120"/>
              <w:rPr>
                <w:rFonts w:cs="Arial"/>
                <w:b w:val="0"/>
                <w:lang w:eastAsia="en-NZ"/>
              </w:rPr>
            </w:pPr>
            <w:r w:rsidRPr="00BE00C7">
              <w:rPr>
                <w:rFonts w:cs="Arial"/>
                <w:b w:val="0"/>
                <w:lang w:eastAsia="en-NZ"/>
              </w:rPr>
              <w:t>Fulton Care Centre has a bid in with the Guinness Book of Records for making the longest ‘forget me not’ chain in association with the Alzheimer’s society.  Gardens from all over Dunedin donated Forget-Me-Not flowers in support.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outings.  Resident files reviewed identified that the individual activity plan is reviewed when the care plan is reviewed.  </w:t>
            </w:r>
          </w:p>
          <w:p w:rsidR="00EB7645" w:rsidRPr="00BE00C7" w:rsidP="00BE00C7">
            <w:pPr>
              <w:pStyle w:val="OutcomeDescription"/>
              <w:spacing w:before="120" w:after="120"/>
              <w:rPr>
                <w:rFonts w:cs="Arial"/>
                <w:b w:val="0"/>
                <w:lang w:eastAsia="en-NZ"/>
              </w:rPr>
            </w:pPr>
            <w:r w:rsidRPr="00BE00C7">
              <w:rPr>
                <w:rFonts w:cs="Arial"/>
                <w:b w:val="0"/>
                <w:lang w:eastAsia="en-NZ"/>
              </w:rPr>
              <w:t>Fulton Care Centre have exceeded the standard for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electronic care plans reviewed had been evaluated by RNs six-monthly, or when changes to care occurred.  Written evaluations described the residents progress against the residents (as appropriate) identified goals.  Short-term care plans in place for acute needs were evaluated and either resolved or added to the long-term care plan as an ongoing problem.  The multidisciplinary review involves the RN, GP, resident and family.  The family are notified of the outcome of the review if unable to attend.  There is at least a three-monthly review by the medical practitioner.  The relatives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was evident in the sample group of resident files.  The service facilitates access to other medical and non-medical services.  Referral documentation is maintained on resident files.  Examples of referrals sighted were to the needs assessment coordination service, wound nurse specialist, physiotherapist, mental health of older persons nurse practitioner (DHB), artificial limb centre and diabetic nurse.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GP discussion with residents/families regarding referrals for treatment and options of care in the GP consultation notes and as documented in the progress notes by the 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RNs identified that the service has ready access to nursing specialists such as wound specialist nurse, continence, palliative care and diabetes.  The physiotherapist is employed by the organisation and is on site each week and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waste management policy and procedure outlines processes.  Staff were observed wearing appropriate protective clothing.  All chemicals sighted were appropriately stored in locked areas and fully labelled.  Staff interviewed were knowledgeable around disposing of hazardous waste.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3 March 2020.  Hot water temperatures are checked weekly.  Medical equipment and electrical appliances have been tested, tagged, and calibrated.  Regular and reactive maintenance occurs.  Residents were observed to mobilise safely within the facility.  There are sufficient seating areas throughout the facility.  The exterior areas are well maintained with safe paving, outdoor shaded seating and gardens.  Healthcare assistants interviewed confirmed there was adequate equipment to carry out the cares according to the resident needs as identified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The building has been refurbished since the flooding in February 2018.  The external area has a flood wall to prevent future risk of flooding.  This has created new garden areas in which residents have been participating in the establishment of the gardens.</w:t>
            </w:r>
          </w:p>
          <w:p w:rsidR="00EB7645" w:rsidRPr="00BE00C7" w:rsidP="00BE00C7">
            <w:pPr>
              <w:pStyle w:val="OutcomeDescription"/>
              <w:spacing w:before="120" w:after="120"/>
              <w:rPr>
                <w:rFonts w:cs="Arial"/>
                <w:b w:val="0"/>
                <w:lang w:eastAsia="en-NZ"/>
              </w:rPr>
            </w:pPr>
            <w:r w:rsidRPr="00BE00C7">
              <w:rPr>
                <w:rFonts w:cs="Arial"/>
                <w:b w:val="0"/>
                <w:lang w:eastAsia="en-NZ"/>
              </w:rPr>
              <w:t>The lounge areas are designed so that space and seating arrangements provide for individual and group activities.  There are quiet, low stimulus areas that provide privacy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secure dementia area has an open lounge and dining area, with a quiet lounge space.  All areas were well supervised on the day of audit.  There are two secure outside courtyards, one on either side of the communal spaces.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external areas are well maintained, and all residents’ wings have access to courtyard gardens and indoors with ease.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hospital/rest home resident rooms, which have ensuites.  The remainder of hospital, rest home and dementia residents’ share communal bathrooms and toilets.  There were sufficient numbers of resident communal bathrooms and toilets in close proximity to resident rooms and communal areas.  The communal toilets and showers were well signed and identifiable and included large vacant/in-use signs.  Visitor toilet facilities are available.  Residents interviewed stated their privacy and dignity were maintained while attending to their personal cares and hygiene.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rooms are spacious enough to meet the assessed resident needs.  The rooms in the hospital wings (Brookside and Lisborne) are large and spacious, with large windows.  Residents were able to manoeuvre mobility aids around the bed and personal space.  All beds were of an appropriate height for the residents.  Healthcare assistants interviewed reported that rooms have sufficient space to allow cares to take place.  The bedrooms are personalised to each resident’s individual taste, one resident has moved in their piano.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main large lounge areas and a separate dining off of these in the Brookside and Lisborne wings, each wing has a smaller lounge area at the end of the wings.  The dining area is spacious for residents to move around with mobility aids and is directly off the servery area.  There is outdoor access throughout the communal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McKenzie (rest home) wing there is a smaller but airy lounge/dining area with small servery.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Glenedin (dementia) unit has a lounge/dining area with an adjoining small quiet lounge area.  All lounge areas have outside access with no dead ends.  The dining room was spacious and located directly off the kitchen/server area.  All areas are easily accessible for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furnishings and seating throughout the facility was appropriate for the residents.  Residents interviewed reported they were able to move around the facility and staff assisted them when required.  Activities take place in any of the lounges.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team of dedicated cleaning staff who clean the facility (one for each wing).  They have access to a range of chemicals, cleaning equipment and protective clothing.  The standard of cleanliness is monitored through the internal audit programme.  Residents and relatives interviewed were satisfied with the standard of cleanliness in the facility.  All chemicals and cleaning trolleys are stored in locked cupboards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All laundry is done on site in the commercial laundry by dedicated laundry staff.  There was a clear dirty to clean pathway, protective equipment was utilised, and a closed system was in place for chemicals.  Residents and relatives interviewed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There is a minimum of one first aid trained staff member on every shift and during outings.  The facility has an approved fire evacuation plan.  Fire drills take place every six months.  Smoke alarms, sprinkler system and exit signs are in place.  Emergency lighting is in place which is regularly tested.  Civil defence kits were also in place.  Supplies of stored water (2800 litres) and food were held on site and were adequate for a minimum of three days.  Two generators are available on site.  Electronic call bells were evident in resident’s rooms, lounge areas and toilets/bathrooms.  The facility is kept locked from dusk to dawn.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demonstrated evidence of effective and efficient resident evacuation procedures from flooding, resulting in a rating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spaces and resident bedrooms have external windows with plenty of natural light.  General living areas are heated with underfloor heating and resident rooms are appropriately heated with adjustable panel heaters and well ventilated.  Residents and relatives interviewed stated the environment was warm and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Fulton Care Centre has an established infection control programme.  The infection control programme, its content and detail are appropriate for the size, complexity and degree of risk associated with the service.  The clinical manager is the designated infection control nurse.  The infection control programme is companywide and has been reviewed annually at Radius head office.  Visitors are asked not to visit if they are ill and are notified if there are infections within the facility and reminded of good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infection control nurse maintains practice by undertaking the MOH online training and attending SDHB infection control study days.  The infection control committee is made up of the infection control nurse and heads of departments.  Infection control meetings are held at staff meetings, so everyone is involved with infection control including clinical and non-clinical staff such as maintenance, cleaning and laundry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has access to external support from the Public Health South, southern community laboratories, DHB nurses and the Radius infection control team who are readily available.  Staff interviewed were knowledgeable regarding their responsibilities for standard and additional precautions.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Fulton Care Centre uses the Radius group infection control policies and procedures.  The policies and procedures are appropriate for the size and complexity of the service.  The infection control manual outlines a comprehensive range of policies, standards and guidelines and includes defining roles, responsibilities and oversight,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according the education schedule.  During the winter months there have been tool-box education sessions on respiratory etiquette.  Throughout the year there are similar toolbox sessions held on topical subjects of the time.  The infection control nurse accesses the MOH tool for topical information around, for example, influenza.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weekly, monthly and annually.  Outcomes and actions are discussed at meetings.  If there is an emergent issue, it is acted upon in a timely manner.  Reports are easily accessible to the village manager and support office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November 2017.  An employed member of staff was identified having tuberculosis in April 2019 and Public Health South was contacted, and contact tracing was completed.  This was well managed and documented, and all staff and residents were updated regularly.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ICC collates information obtained through surveillance to determine infection control activities and education needs in the facility.  Infection control data including trends, is discussed at staff, RN and management meetings.  Meeting minutes are available to staff.  Trends are identified, analysed and preventative measures put in place.  The facility benchmarks infections with similar Radius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restraint coordinator.  Restraint practices are only used where it is clinically indicated and justified, and other de-escalation strategies have been ineffective.  Restraint minimisation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nine (hospital level) residents using enablers (bedrails) and two (hospital level) residents using bedrails as restraint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file of a resident using an enabler (bedrails) was reviewed.  The resident gave written consent for the use of bedrails.  The enabler was linked to the resident’s care plan and was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Consultation with the resident and/or family/whānau were evident in the file reviewed where restraint (bedrails) were in use.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sighted in the resident’s file reviewed.  An internal restraint audit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Consistent evidence to verify monitoring was evidenced on the monitoring forms for the resident’s file reviewed.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three-monthly.  Restraint use is also discussed in the monthly restraint meetings,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Radius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664"/>
        <w:gridCol w:w="80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rating that service implements a robust corrective action planning process is beyond the expected full attainment. The service has conducted a number of quality improvement projects where a review process has occurred, including analysis and reporting of corrective actions has occurred. There is evidence of action taken based on corrective actions that has made improvements to service provision. The projects include reviewing if the improvements have had positive impacts on resident safety or resident satisfaction.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corrective action plans implemented addressing residents’ falls, have resulted in a rating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1) Falls trending identified an increase in the frequency of falls occurring over the lunch hour over the period of March – May 2019, with ten falls recorded.  Strategies implemented by staff including (but not limited to) staggering lunch times for staff, allowing for better staff cover during mealtimes.  In addition, they completed a review of the literature on interventions to prevent falls and reduce harm from falls.  Other interventions have included the use of vitamin D, falls graphs which reflect the time and day of falls, ongoing training in falls prevention, separation of monthly meeting process to ensure there is a team approach for reducing falls for at risk residents, introduction of ‘jazzercize’ class by the physio in addition to the steady as you go programme, contracted physiotherapy hours have increased, reviewed with staff the role of hydration in falls prevention, and the reintroduction of action plans for frequent falls.  All this has resulted in a corresponding reduction in the number of falls (four falls over the lunch hour from June – Aug 2019).  </w:t>
            </w:r>
          </w:p>
          <w:p w:rsidR="00EB7645" w:rsidRPr="00BE00C7" w:rsidP="00BE00C7">
            <w:pPr>
              <w:pStyle w:val="OutcomeDescription"/>
              <w:spacing w:before="120" w:after="120"/>
              <w:rPr>
                <w:rFonts w:cs="Arial"/>
                <w:b w:val="0"/>
                <w:lang w:eastAsia="en-NZ"/>
              </w:rPr>
            </w:pPr>
            <w:r w:rsidRPr="00BE00C7">
              <w:rPr>
                <w:rFonts w:cs="Arial"/>
                <w:b w:val="0"/>
                <w:lang w:eastAsia="en-NZ"/>
              </w:rPr>
              <w:t>2) A second corrective action implemented addressed reducing harm from falls.  In 2017 a new supplier of hip protectors was introduced for residents at risk of falls.  These hip protectors have been promoted and encouraged.  Twenty residents who were identified at risk of falling, currently wear hip protectors compared with four residents in 2017 and eight residents in 2018.  The number of fractures from falls has reduced from five (2017) to two (2018) and only one (year to date) for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set themselves a goal of encouraging all residents to try something they have never done before, providing inter-generational activities, to provide opportunities to be part of an increasing the combined activities throughout the care centre.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2018 resident survey identified resident satisfaction was around 45%.  Comments were analysed around what people liked and what they wanted more of, for example, more activities over the weekend, and several comments around liking the musical activities.  It was identified through the survey that a high number of residents across the facility enjoy music, and music was often used in the Glenedin wing to soothe resident anxiety.  The music for the dementia programme was introduced by a relative who provided information for other families to consider, this has been disseminated across the facility.  The programme is run by an external organisation, who follow up with families who are interested or who have been liaising regarding the benefits of the programme.  The organisation then proceeds by gathering information about the person’s musical likes and dislikes and loads the music onto headphones.  Music therapy and music appreciation is used throughout the home for many who are not on the programme, such as one-on-one time.  There are different forms of musical activities such as musical quiz, music and movement, sing-alongs with a resident playing the piano, and an external speaker visits on a six weekly basis who researches music and composers and presents this to the residents and plays the music.  This links with the Residents Radio show, which has attracted entertainers to the facility to entertain.  The 2019 satisfaction survey showed a further 20% increase on 2018 of residents very satisfied with the programme.  During the audit there was a variety of musical entertainment on offer with many residents participating.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implemented to effectively manage residents during a flood has resulted in a rating of continuous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experienced their first flood with evacuation of 50% of the residents on 4 June 2015.  Lessons learned from this experience resulted in enhanced processes around resident evacuations during a second flood on 1 February 2018 where 100% of the residents had to be evacuated.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managers, HCAs and the designated emergency team (three managers, three HCAs, three RNs, activities coordinator, maintenance staff) demonstrated that the lessons learned during the first evacuation in 2015 resulted in a more efficient evacuation of residents in 2018.  Examples provided included that during the flood in 2018, alerts were in place notifying residents and staff more quickly.  Support by external providers (eg, transporting residents) was also expedited more quickly.  A triage system was implemented where the more acute residents were evacuated first.  Only significant and pertinent information (in hard copy) accompanied the resident (during the first flood the entire resident folder was copied).  Residents now wear wrist bands for identification purposes.  HCAs reported that they were able to manage residents’ stress levels better because they knew what was happening and were familiar with evacuation processes.  They visited residents while they were staying in other aged care facilities and the re-admission process back to Radius Fulton Home went smoothly with GP visits and interRAI assessments all taking place within acceptable timeframes.</w:t>
            </w:r>
          </w:p>
          <w:p w:rsidR="00EB7645" w:rsidRPr="00BE00C7" w:rsidP="00BE00C7">
            <w:pPr>
              <w:pStyle w:val="OutcomeDescription"/>
              <w:spacing w:before="120" w:after="120"/>
              <w:rPr>
                <w:rFonts w:cs="Arial"/>
                <w:b w:val="0"/>
                <w:lang w:eastAsia="en-NZ"/>
              </w:rPr>
            </w:pPr>
            <w:r w:rsidRPr="00BE00C7">
              <w:rPr>
                <w:rFonts w:cs="Arial"/>
                <w:b w:val="0"/>
                <w:lang w:eastAsia="en-NZ"/>
              </w:rPr>
              <w:t>Construction has been undertaken to prevent future flooding and the need for evacuation through the use of underground water storage tanks.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Following exposure to TB in April 2019, the staff of Fulton Care Centre identified the further risk of exposure to infections with the increased risk of an influenza outbreak during the winter months and set a goal of maintaining good infection control practices to maintain low infection rates and meet KPI targets.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reviewing the 2018 data, it was identified that during the winter months KPIs were not met around infection rates.  The infection control nurse continued to monitor all infections and effectiveness of treatments on a weekly basis.  Monthly data continued to be collated and analysed.  Staff and residents were encouraged to have the flu vaccine, which resulted in the staff uptake of 87% and 96% of residents.  A monthly electronic dashboard for infection rates was commenced.  Added signage reminding visitors and staff around reducing the spread of respiratory infections was displayed, tool-box sessions on respiratory etiquette were held.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Fulton Care Centre have had no outbreaks since 2017, KPI around infection control has been met for the last 12 months.  The infection control nurse presented two case studies on the effectiveness of medications for prevention of urinary tract infections.  The infection control nurse follows the flu tracker on the MOH website.  To date no staff or residents have had signs or symptoms of influenza.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Fulton Care Centre</w:t>
    </w:r>
    <w:bookmarkEnd w:id="58"/>
    <w:r>
      <w:rPr>
        <w:rFonts w:cs="Arial"/>
        <w:sz w:val="16"/>
        <w:szCs w:val="20"/>
      </w:rPr>
      <w:tab/>
      <w:t xml:space="preserve">Date of Audit: </w:t>
    </w:r>
    <w:bookmarkStart w:id="59" w:name="AuditStartDate1"/>
    <w:r>
      <w:rPr>
        <w:rFonts w:cs="Arial"/>
        <w:sz w:val="16"/>
        <w:szCs w:val="20"/>
      </w:rPr>
      <w:t>21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