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Stokeswood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Stokeswood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August 2019</w:t>
      </w:r>
      <w:bookmarkEnd w:id="7"/>
      <w:r w:rsidRPr="009418D4">
        <w:rPr>
          <w:rFonts w:cs="Arial"/>
        </w:rPr>
        <w:tab/>
        <w:t xml:space="preserve">End date: </w:t>
      </w:r>
      <w:bookmarkStart w:id="8" w:name="AuditEndDate"/>
      <w:r w:rsidR="00A4268A">
        <w:rPr>
          <w:rFonts w:cs="Arial"/>
        </w:rPr>
        <w:t>30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Stokeswood is part of the Bupa group.  The service is certified to provide rest home, hospital (geriatric and medical) and dementia care for up to 86 residents.  On the day of audit there were 81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The service is managed by an interim care home manager who is an experienced manager and RN, who also manages a close by Bupa service.  The clinical manager has worked at Stokeswood since February 2019.  The management team is supported by three-unit coordinators and a regional operations manager.</w:t>
      </w:r>
    </w:p>
    <w:p w:rsidRPr="00A4268A">
      <w:pPr>
        <w:spacing w:before="240" w:line="276" w:lineRule="auto"/>
        <w:rPr>
          <w:rFonts w:eastAsia="Calibri"/>
        </w:rPr>
      </w:pPr>
      <w:r w:rsidRPr="00A4268A">
        <w:rPr>
          <w:rFonts w:eastAsia="Calibri"/>
        </w:rPr>
        <w:t>There are systems, processes, policies and procedures documented to provide appropriate quality care for people who live in the service.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 xml:space="preserve"> The service has addressed one of the four previous audit shortfalls around the external environment. Further improvements continue to be required around staff training, care plan interventions and medication documentation.</w:t>
      </w:r>
    </w:p>
    <w:p w:rsidRPr="00A4268A">
      <w:pPr>
        <w:spacing w:before="240" w:line="276" w:lineRule="auto"/>
        <w:rPr>
          <w:rFonts w:eastAsia="Calibri"/>
        </w:rPr>
      </w:pPr>
      <w:r w:rsidRPr="00A4268A">
        <w:rPr>
          <w:rFonts w:eastAsia="Calibri"/>
        </w:rPr>
        <w:t>This audit identified improvements required by the service around communication of quality date to meetings and fire evacuations.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Bupa Stokeswood has a well-documented quality and risk system.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Each resident is reviewed at least three-monthly by their general practitioner.  A range of individual and group activities is available and coordinated by the activities’ person.  All meals are prepared on-site.  There is a seasonal menu in place, which is reviewed by a dietitian.  Residents' food preferences are accommodated and the residents and relatives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There are documented processes for the management of waste and hazardous substances in place, and incidents are reported in a timely manner.  Chemicals are stored safely throughout the facility.  There is safe access to the communal areas and outdoor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eight residents using restraints and three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44"/>
        <w:gridCol w:w="1280"/>
        <w:gridCol w:w="101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Discussions with residents and relatives confirmed they were provided with information on complaints and complaint forms.  Complaints forms are in a visible location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Five complaints received since the last audit were reviewed with evidence of appropriate follow-up actions taken.  Documentation reviewed reflected the service is proactive in addressing complaints and actions have included; additional training, one resident being re-assessed to a different level of care, the use of reflective practice for registered nurses (RNs) and the Bupa Head office liaison person maintaining ongoing contact with complainants as needed.</w:t>
            </w:r>
          </w:p>
          <w:p w:rsidR="00EB7645" w:rsidRPr="00BE00C7" w:rsidP="00BE00C7">
            <w:pPr>
              <w:pStyle w:val="OutcomeDescription"/>
              <w:spacing w:before="120" w:after="120"/>
              <w:rPr>
                <w:rFonts w:cs="Arial"/>
                <w:b w:val="0"/>
                <w:lang w:eastAsia="en-NZ"/>
              </w:rPr>
            </w:pPr>
            <w:r w:rsidRPr="00BE00C7">
              <w:rPr>
                <w:rFonts w:cs="Arial"/>
                <w:b w:val="0"/>
                <w:lang w:eastAsia="en-NZ"/>
              </w:rPr>
              <w:t>The Ministry of Health letter dated 12 December 2018 refers to a Health and Disability complaint.  This complaint had been comprehensively investigated by the Bupa CSI team.  Actions have included reflective practice by the registered nurses and additional training such as falls prevention, continence care and abuse and neglect.  Training around end of life care was not evidenced (link 1.2.7.5).  Care plans reviewed did not always document falls prevention strategies (link 1.3.5.2).  There was no end of life residents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recorded on the family/whānau communication record, which is held in each resident’s file.  Accident/incident forms have a section to indicate if next of kin have been informed (or not) of an accident/incident.  Ten accident/incident forms reviewed identified family are kept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relatives interviewed, one hospital level, one rest home and three with family members from the dementia unit,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Ministry of Health ‘Long-term Residential Care in a Rest Home or Hospital – what you need to know’ is provided to residents on entry.  The residents and family are informed prior to entry of the scope of services and any items they have to pay for that are not covered by the agreement.</w:t>
            </w:r>
          </w:p>
          <w:p w:rsidR="00EB7645" w:rsidRPr="00BE00C7" w:rsidP="00BE00C7">
            <w:pPr>
              <w:pStyle w:val="OutcomeDescription"/>
              <w:spacing w:before="120" w:after="120"/>
              <w:rPr>
                <w:rFonts w:cs="Arial"/>
                <w:b w:val="0"/>
                <w:lang w:eastAsia="en-NZ"/>
              </w:rPr>
            </w:pPr>
            <w:r w:rsidRPr="00BE00C7">
              <w:rPr>
                <w:rFonts w:cs="Arial"/>
                <w:b w:val="0"/>
                <w:lang w:eastAsia="en-NZ"/>
              </w:rPr>
              <w:t>An introduction to the dementia booklet provides information for family, friends and visitors to the facility.  This booklet is included in the enquiry pack along with a new resident’s handbook providing practical information for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Stokeswood Rest Home and Hospital is a Bupa residential care facility.  The service provides rest home, hospital and dementia level care for up to 86 residents.  At the time of the audit there were 81 residents; 39 rest home residents including three residents on respite and 24 hospital residents including one younger person disabled and one ACC resident (also under 65 years of age).  There were 18 residents in the 20-bed dementia care unit including one funded through the Long-Term Support-Chronic Health Conditions contract (LTS-CHC).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quality/health and safety goals for the facility have been determined and were reviewed April and August 2019 by the manager.  Minimising falls is a quality goal for the service and regular falls focus groups have been held as well as training.  Falls benchmarking identified a downward trend, however, falls prevention interventions in care plans were not always documented (link 1.3.5.2).</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interim care home manager who is an experienced manager and RN, who also manages a close-by Bupa service.  The manager stated that she divides her time equally between the two sites.  Bupa has booked a Bupa relief manager to take over in a week until a permanent manager has been employed.  The clinical manager has been in the role for two days, but has been acting clinical manager since February 2019, having previously been a unit coordinator at the service.  The management team is supported by three-unit coordinators and a regional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home managers and clinical managers attend annual forums and regional forums six monthly.  The care home manager has maintained at least eight hours annually of professional development activities related to managing a rest home/hospital.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 documented quality system and processes.  Interviews with the interim manager reflects their understanding of the quality and risk management systems, however the processes have not been well implemented prior to her arrival.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data, including trends in data and benchmarked results were not documented as discussed in staff meetings with not all meetings documented as taking place as scheduled.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 falls, infection rates, complaints received, restraint use, pressure areas, wounds, and medication errors and this has been consistently documented.  An annual internal audit schedule was sighted for the service, with evidence of internal audits occurring as per the audit schedule.  Corrective actions are implemented when service shortfalls are identified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All incidents, complaints, infections, pressure injuries, falls, category one incidents are completed on the online system.  Reports are automated and further analysis is completed of those reports.  An annual satisfaction survey is completed, and 2018 results demonstrated an 84% positive outcome.  Results have been presented to staff, residents and family in poster form.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There is a health and safety officer for the service.  The health and safety team meet two monthly and document good discussion of infection control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undergo annual health and safety training which begins during their orientation.  Contractors are required to be inducted into the facility and sign a health and safety information sheet when this has been completed.  The hazard register is reviewed regularly.  Strategies are implemented to reduce the number of falls.  The falls committee has continued to meet, and they have reviewed all falls and falls minimisation strategies for residents.  Falls have continued a downward trend.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benchmarked.  All incidents are coded in severity on Riskman (severity 1-4) with 4 being the most severe.  All resident incidents logged with a severity of 3 or 4 are automatically escalated to the Bupa CSI team immediately and the regional operations manager.  Actions are then followed-up and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accident/incident forms were reviewed across the three service areas.  Each event involving a resident reflected a clinical assessment and follow-up by a RN.  Incidents are benchmarked and analysed for trends.  The interim manager was aware of the requirement to notify relevant authorities in relation to essential notifications.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seven section 31 notifications made since the last audit.  One unstageable pressure injury, two residents absconding, two outbreaks, one broken lock to the secure unit and one alleged theft (the CSI team are currently investigating).   All issues raised by section 31 reporting included action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Eight staff files (one cook, three RNs, one activities staff member and three caregivers) reviewed, evidenced implementation of the recruitment process, employment contracts, completed orientation, but no up-to-date annual performance appraisals.  A register of practising certificates is maintained.  The service has an orientation programme in place that provides new staff with relevant information for safe work practice.  The orientation programme is developed specifically to worker type (eg, RN, support staff) and includes documented competencies.  New staff are buddied for a period of time (eg, caregivers two weeks, RN four weeks), and during this period they do not carry a clinical load.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thirteen caregivers that work in the dementia community/unit and four have completed the required dementia standards, six caregivers are in process of completing their dementia standards but have been employed over 18 months and three new staff members have yet to be enrolled.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in place.  The service provides regular in-service education and sessions have been provided that address all required areas.  The service has changed its training process to paid training days, this has improved attendance and ensured all staff have attended at least eight hours training annually.  This is an improvement from the previous audit; however, end if life training had yet to be provided following a Health and Disability complaint.  Of the ten RNs at Stokeswood, five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support work, registered nurse, and cleaner).  Core competencies are completed annually, and a record of completion is maintained (signed competency questionnaires sighted in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RN competencies include assessment tools, BSLs/insulin administration, CD administration, moving &amp; handling, nebuliser, oxygen administration, PEG tube care/feeds, restraint, wound management, CPR and T34 syringe driver.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clinical manager is on-call after hours with other RNs.  The care home manager and clinical manager are available during weekdays.  Adequate RN cover is provided 24 hours a day, seven days a week.  Sufficient numbers of caregivers’ support the unit coordinators and RNs.  Staff interviewed advised that there are sufficient staff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there are 18 of 20 residents.  On the morning shift there is one-unit coordinator/RN on duty for three days Tuesday, Wednesday and Friday, who is supported by three caregivers.  On the afternoon shift, there is one RN (across dementia and rest home units) and three caregivers, and on the night shift, there is one RN (across dementia and rest home units)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are 24 of 24 hospital residents.  On the morning shift, there is one-unit coordinator/RN or RN on duty from Monday to Sunday, who is supported by four caregivers.  On the afternoon shift there is one RN and four caregivers, and on the night shift there is one RN and one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39 of 43 rest home residents.  On the morning shift there is one-unit coordinator/EN on duty from Monday to Friday, who is supported by three caregivers.  On the afternoon shift there is one RN (across dementia and rest home units) and three caregivers and on the night shift there is one RN (across dementia and rest home units) and two caregivers.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comprehensive policies and procedures in place for all aspects of medication management, including self-administration.  The RN checks all medications on delivery against the medication chart and any pharmacy errors recorded and fed back to the supplying pharmacy.  The service uses an electronic medication management system and robotic packs.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enrolled nurse and senior caregivers responsible for the administering of medications have completed annual medication competencies and annual medication education.  Other competencies completed by RNs included insulin administration and syringe driver.</w:t>
            </w:r>
          </w:p>
          <w:p w:rsidR="00EB7645" w:rsidRPr="00BE00C7" w:rsidP="00BE00C7">
            <w:pPr>
              <w:pStyle w:val="OutcomeDescription"/>
              <w:spacing w:before="120" w:after="120"/>
              <w:rPr>
                <w:rFonts w:cs="Arial"/>
                <w:b w:val="0"/>
                <w:lang w:eastAsia="en-NZ"/>
              </w:rPr>
            </w:pPr>
            <w:r w:rsidRPr="00BE00C7">
              <w:rPr>
                <w:rFonts w:cs="Arial"/>
                <w:b w:val="0"/>
                <w:lang w:eastAsia="en-NZ"/>
              </w:rPr>
              <w:t>Stock medication including oxygen was being monitored weekly.  The medication fridges in each unit had temperatures recorded daily and these were within acceptable ranges.  There were no self-medicating residents.</w:t>
            </w:r>
          </w:p>
          <w:p w:rsidR="00EB7645" w:rsidRPr="00BE00C7" w:rsidP="00BE00C7">
            <w:pPr>
              <w:pStyle w:val="OutcomeDescription"/>
              <w:spacing w:before="120" w:after="120"/>
              <w:rPr>
                <w:rFonts w:cs="Arial"/>
                <w:b w:val="0"/>
                <w:lang w:eastAsia="en-NZ"/>
              </w:rPr>
            </w:pPr>
            <w:r w:rsidRPr="00BE00C7">
              <w:rPr>
                <w:rFonts w:cs="Arial"/>
                <w:b w:val="0"/>
                <w:lang w:eastAsia="en-NZ"/>
              </w:rPr>
              <w:t>Twelve medication charts were reviewed, ten computer-based and two paper-based.  Photo identification and allergy status were documented.  One paper-based chart had no indications for use for ‘as required’ medication and one did not match the medication blister pack or signing chart.</w:t>
            </w:r>
          </w:p>
          <w:p w:rsidR="00EB7645" w:rsidRPr="00BE00C7" w:rsidP="00BE00C7">
            <w:pPr>
              <w:pStyle w:val="OutcomeDescription"/>
              <w:spacing w:before="120" w:after="120"/>
              <w:rPr>
                <w:rFonts w:cs="Arial"/>
                <w:b w:val="0"/>
                <w:lang w:eastAsia="en-NZ"/>
              </w:rPr>
            </w:pPr>
            <w:r w:rsidRPr="00BE00C7">
              <w:rPr>
                <w:rFonts w:cs="Arial"/>
                <w:b w:val="0"/>
                <w:lang w:eastAsia="en-NZ"/>
              </w:rPr>
              <w:t>Three charts were reviewed for a resident receiving insulin (one for each area).  The chart included records of BSLs and administered insulin (as per GP instructions).  All documented blood sugar monitoring as charted and high or low levels had been followed up as per the GP instruction.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medication was appropriately stored and there were no faxed medication charts, these are improvements from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employ one full-time kitchen manager and one-part time cook.  There are nine kitchenhands in total.  All kitchen staff have current food safety certificates.  The kitchen manager oversees the procurement of the food and management of the kitchen.  There is a well-equipped kitchen and all meals are cooked on site.  Meals are delivered to the wings in bain maries.  On the day of audit, meals were observed to be hot and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food and freezer temperatures were monitored and recorded daily.  These were all within safe limits.  A food control plan has been verified and expires July 2020.  The residents have a nutritional profile developed on admission, which identifies dietary requirements and likes and dislikes.  This is reviewed six monthly (or earlier) as part of the care plan review.  Changes to residents’ dietary needs have been communicated to the kitchen.  The national Bupa menus have been audited and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kitchen off the dementia community/unit dining area.  There are adequate snacks available for residents 24/7.  The resident and family survey documents 77% satisfaction with meals and residents and family interviewed reported that meals were plentiful and tasty.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demonstrated service integration and input from allied health and specialists.  For the files reviewed, care summaries and long-term care plan interventions reflected each other, care plans had been updated to reflect six monthly evaluations and obsolete information was closed out.  These are all improvements from the previous audit.  However, care plans did not all include interventions to support all identified needs.  The younger person file included interventions appropriate to a younger person, but not all interventions to support all medical needs.  This is a continued shortfall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are involved in the development and review of care plans.  Short-term care plans were in use for changes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Two files (dementia level care) reviewed, included specific dementia care plans that included behaviours and de-escalation techniques.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GP visit or specialist referral.  Residents interviewed reported their needs were being met.  Family members interviewed stated the care and support was overall good.  There was documented evidence of relative contact for any changes to resident health status.  Registered nurses were regularly involved in resident daily care and ongoing assessments as identified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were available and resident files included bowel management, and continence products identified for day use, night use, and other management.  Specialist continence advice is available as needed and this could be described by the RNs interviewed.  Caregivers and RNs interviewed stated there was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care folders were reviewed in all three areas.  A sample of wound documentation was reviewed including a review of the one current pressure injury.  Wound assessment and management plans provide a record of wound progress and these were being documented as per policy.  Wound tracing and photos were completed for most wounds and specialist input to wound was reflected for the pressure injury and a sacral graze.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well utilised at Stokeswood and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minimisation strategies have included falls training for staff (December 2018 and January 2019) and the implementation of a falls focus group, this group along with the quality meeting and health and safety group document that the service reviews falls at least monthly and discusses strategies to reduce falls on and individual resident basis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across seven days with activities held during the morning and afternoons.  There is a programme in each area with one-on-one activities also provided.</w:t>
            </w:r>
          </w:p>
          <w:p w:rsidR="00EB7645" w:rsidRPr="00BE00C7" w:rsidP="00BE00C7">
            <w:pPr>
              <w:pStyle w:val="OutcomeDescription"/>
              <w:spacing w:before="120" w:after="120"/>
              <w:rPr>
                <w:rFonts w:cs="Arial"/>
                <w:b w:val="0"/>
                <w:lang w:eastAsia="en-NZ"/>
              </w:rPr>
            </w:pPr>
            <w:r w:rsidRPr="00BE00C7">
              <w:rPr>
                <w:rFonts w:cs="Arial"/>
                <w:b w:val="0"/>
                <w:lang w:eastAsia="en-NZ"/>
              </w:rPr>
              <w:t>There is one trained diversional therapist and three activity assistants.  The activity team meet monthly to develop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in all areas were observed being actively involved with a variety of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implement a varied activities programme across the three services.  Group activities are voluntary and developed by the activities staff.  Residents were able to participate in a range of activities that were appropriate to their cognitive and physical capabilities.  The service has a mobility van that is used for resident outings.  The group activity plans were displayed on noticeboards around the facility.  There is one programme for the rest home and hospital and residents attend which activity they choose.  A separate programme is provided in the dementia community/unit and dementia residents often join (under supervision) concerts and events with the other residents.  All residents who do not participate regularly in the group activities are visited by a member of the activity staff with records kept ensuring all such residents are included.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 community with visits to clubs and other community groups.  There are regular entertainers to the home and residents go on regular outings and drives.  The family/resident completes a ‘Map of Life’ on admission, which includes previous hobbies, community links, family and interests.  The individual activity plan is incorporated as part of the long-term care plan under the sections ‘socialising and activities’ and ‘my day, my way’.  Resident files reviewed identified that the individual activity plan is reviewed at least six monthly.  Files reviewed in the dementia community included activity plans across 24/7 as part of the LTCP.</w:t>
            </w:r>
          </w:p>
          <w:p w:rsidR="00EB7645" w:rsidRPr="00BE00C7" w:rsidP="00BE00C7">
            <w:pPr>
              <w:pStyle w:val="OutcomeDescription"/>
              <w:spacing w:before="120" w:after="120"/>
              <w:rPr>
                <w:rFonts w:cs="Arial"/>
                <w:b w:val="0"/>
                <w:lang w:eastAsia="en-NZ"/>
              </w:rPr>
            </w:pPr>
            <w:r w:rsidRPr="00BE00C7">
              <w:rPr>
                <w:rFonts w:cs="Arial"/>
                <w:b w:val="0"/>
                <w:lang w:eastAsia="en-NZ"/>
              </w:rPr>
              <w:t>Residents/family have the opportunity to provide feedback on the activity programme through resident meetings (with an advocate) and satisfaction surveys.  Residents and family interviewed stated the activity programme was varied and there were lots to choose from.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six monthly, or when changes to care occurred.</w:t>
            </w:r>
          </w:p>
          <w:p w:rsidR="00EB7645" w:rsidRPr="00BE00C7" w:rsidP="00BE00C7">
            <w:pPr>
              <w:pStyle w:val="OutcomeDescription"/>
              <w:spacing w:before="120" w:after="120"/>
              <w:rPr>
                <w:rFonts w:cs="Arial"/>
                <w:b w:val="0"/>
                <w:lang w:eastAsia="en-NZ"/>
              </w:rPr>
            </w:pPr>
            <w:r w:rsidRPr="00BE00C7">
              <w:rPr>
                <w:rFonts w:cs="Arial"/>
                <w:b w:val="0"/>
                <w:lang w:eastAsia="en-NZ"/>
              </w:rPr>
              <w:t>Written evaluations describe the resident’s progress against the residents identified goals.  InterRAI assessments have been utilised in conjunction with the six-monthly reviews.  Short-term care plans for short-term needs were evaluated and either resolved or added to the long-term care plan as an ongoing problem.  There is at least a three-monthly review by the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30 June 2020.  There is a full-time property manager who is available on call for facility matters.  Planned and reactive maintenance systems are in place and maintenance requests are generated through maintenance request books.  All electrical equipment has been tested and tagged.  Clinical equipment has had functional checks/calibration annually.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Corridors are wide enough in all areas to allow residents to pass each other safely.  Handrails are available in hallways and warning signs are in place for change in floor services.  There is access to all communal areas and outdoor areas.  There is outdoor seating and shade available in all areas.  There is a designated smoking area for residents who smoke. The dementia garden area has been landscaped and is now hazard free.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registered nurses (interviewed) state they have all the equipment required to provide the care documented in the care plans.  The following equipment is available (but not limited to): electric beds, ultra-low beds, sensor mats, standing and lifting hoists, mobility aids and wheel-on weigh scales.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management plans in place to guide staff in managing emergencies and disasters.  At least one staff member is on duty at all times with a current first aid certificate.  Fire evacuation drills have not taken place every six months.  Smoke alarms,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Emergency food supplies sufficient for three days are kept in the kitchen.  Extra blankets are available.  There are civil defence kits in the nurses’ station in each unit, the kits are checked monthly.  There is sufficient water stored (water tank) to ensure for three litres per day for three days per resident.  Call bells were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  The dementia community/unit has a secure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Effective monitoring is the responsibility of the infection control coordinator.  Infections are included on Riskman and a monthly report is completed by the infection control coordinator.  This includes audits of the facility, hand hygiene and surveillance of infection control events and infections.  Surveillance data is available to all staff (link 1.2.3.6).  Infections statistics are included for benchmarking.  Corrective action plans (CAPs) are established where trends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An outbreak of flu like symptoms during July 2019 and an outbreak of gastroenteritis during May 2019 were well managed.  The DHB and Public Health were informed, and section 31 notifications were sent.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 their understanding of restraints and enablers.  At the time of the audit, the service had eight residents using restraints (bedrails, two lap belts and secure chairs) and three residents’ enablers (bedrails).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28"/>
        <w:gridCol w:w="1280"/>
        <w:gridCol w:w="6420"/>
        <w:gridCol w:w="2228"/>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 well-documented quality and risk management system that includes a series of meetings to ensure communication and discussion of quality such as complaints and incidents.  Not all meetings have been documented as scheduled and meeting minutes do not all document communication of quality results.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Internal audits and complaints are not documented as reported to meetings.</w:t>
            </w:r>
          </w:p>
          <w:p w:rsidR="00EB7645" w:rsidRPr="00BE00C7" w:rsidP="00BE00C7">
            <w:pPr>
              <w:pStyle w:val="OutcomeDescription"/>
              <w:spacing w:before="120" w:after="120"/>
              <w:rPr>
                <w:rFonts w:cs="Arial"/>
                <w:b w:val="0"/>
                <w:lang w:eastAsia="en-NZ"/>
              </w:rPr>
            </w:pPr>
            <w:r w:rsidRPr="00BE00C7">
              <w:rPr>
                <w:rFonts w:cs="Arial"/>
                <w:b w:val="0"/>
                <w:lang w:eastAsia="en-NZ"/>
              </w:rPr>
              <w:t>(ii). Incident and accident results are reported to RN meetings, but not the staff or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Staff meetings have been documented for February and May only (rather than one to two monthly as scheduled). </w:t>
            </w:r>
          </w:p>
          <w:p w:rsidR="00EB7645" w:rsidRPr="00BE00C7" w:rsidP="00BE00C7">
            <w:pPr>
              <w:pStyle w:val="OutcomeDescription"/>
              <w:spacing w:before="120" w:after="120"/>
              <w:rPr>
                <w:rFonts w:cs="Arial"/>
                <w:b w:val="0"/>
                <w:lang w:eastAsia="en-NZ"/>
              </w:rPr>
            </w:pPr>
            <w:r w:rsidRPr="00BE00C7">
              <w:rPr>
                <w:rFonts w:cs="Arial"/>
                <w:b w:val="0"/>
                <w:lang w:eastAsia="en-NZ"/>
              </w:rPr>
              <w:t>(iv). The quality meeting viewed for January to August 2019 documented large sections of copied minutes with the meeting minutes for March being an entire copy of January’s meeting.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(i)-(iv) Ensure that meetings are documented as scheduled and that meeting minutes reflect communication and discussion of up-to-date quality results.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regular in-service education and sessions have been provided with paid training days, toolbox talks and ad-hoc training.  End of life training has not been provided.  All staff working in the dementia unit either have the dementia unit standards or are in the process, however staff in the process have not completed within the set timeframes.  Staff files document appropriate employment processes, but ongoing staff appraisals are not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Of the thirteen staff working in the dementia unit, six have not completed the dementia standards within timeframes.</w:t>
            </w:r>
          </w:p>
          <w:p w:rsidR="00EB7645" w:rsidRPr="00BE00C7" w:rsidP="00BE00C7">
            <w:pPr>
              <w:pStyle w:val="OutcomeDescription"/>
              <w:spacing w:before="120" w:after="120"/>
              <w:rPr>
                <w:rFonts w:cs="Arial"/>
                <w:b w:val="0"/>
                <w:lang w:eastAsia="en-NZ"/>
              </w:rPr>
            </w:pPr>
            <w:r w:rsidRPr="00BE00C7">
              <w:rPr>
                <w:rFonts w:cs="Arial"/>
                <w:b w:val="0"/>
                <w:lang w:eastAsia="en-NZ"/>
              </w:rPr>
              <w:t>(ii). End of life training has not been documented as occurring following a Health and Disability complaint.</w:t>
            </w:r>
          </w:p>
          <w:p w:rsidR="00EB7645" w:rsidRPr="00BE00C7" w:rsidP="00BE00C7">
            <w:pPr>
              <w:pStyle w:val="OutcomeDescription"/>
              <w:spacing w:before="120" w:after="120"/>
              <w:rPr>
                <w:rFonts w:cs="Arial"/>
                <w:b w:val="0"/>
                <w:lang w:eastAsia="en-NZ"/>
              </w:rPr>
            </w:pPr>
            <w:r w:rsidRPr="00BE00C7">
              <w:rPr>
                <w:rFonts w:cs="Arial"/>
                <w:b w:val="0"/>
                <w:lang w:eastAsia="en-NZ"/>
              </w:rPr>
              <w:t>(iii). Four of five staff files documented that annual appraisals were not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staff who work in the dementia unit have completed the limited credits dementia training within set timeframes.</w:t>
            </w:r>
          </w:p>
          <w:p w:rsidR="00EB7645" w:rsidRPr="00BE00C7" w:rsidP="00BE00C7">
            <w:pPr>
              <w:pStyle w:val="OutcomeDescription"/>
              <w:spacing w:before="120" w:after="120"/>
              <w:rPr>
                <w:rFonts w:cs="Arial"/>
                <w:b w:val="0"/>
                <w:lang w:eastAsia="en-NZ"/>
              </w:rPr>
            </w:pPr>
            <w:r w:rsidRPr="00BE00C7">
              <w:rPr>
                <w:rFonts w:cs="Arial"/>
                <w:b w:val="0"/>
                <w:lang w:eastAsia="en-NZ"/>
              </w:rPr>
              <w:t>(ii). Ensure end of life training is provided for staff as directed by the Health and Disability response.</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staff have a documented annual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medication management system with some paper-based medication charts and robotic packs.  There was a medication treatment room in each of the three units.  Medications were appropriately stored, and stock rotated.  The medication fridges in each unit had temperatures recorded daily and these were within acceptable ranges.  Twelve medication charts were reviewed across the three units.  Photo identification and allergy status were documented.  Administration of medications was observed in the three units and all demonstrated safe practice.  Shortfalls were identified around documentation of paper-based medication charts and documentation for ‘as needed’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paper-based chart (rest home) had no indication for use for ‘as required’ medication.</w:t>
            </w:r>
          </w:p>
          <w:p w:rsidR="00EB7645" w:rsidRPr="00BE00C7" w:rsidP="00BE00C7">
            <w:pPr>
              <w:pStyle w:val="OutcomeDescription"/>
              <w:spacing w:before="120" w:after="120"/>
              <w:rPr>
                <w:rFonts w:cs="Arial"/>
                <w:b w:val="0"/>
                <w:lang w:eastAsia="en-NZ"/>
              </w:rPr>
            </w:pPr>
            <w:r w:rsidRPr="00BE00C7">
              <w:rPr>
                <w:rFonts w:cs="Arial"/>
                <w:b w:val="0"/>
                <w:lang w:eastAsia="en-NZ"/>
              </w:rPr>
              <w:t>(ii) One paper-based chart (dementia); the signing sheet and the blister pack did not match the medication chart.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as needed medication includes indications for use; (ii) Ensure medication charts in place reflect what is administered.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were reviewed for this audit.  The respite file reviewed included a short-term nursing assessment and short-stay care plan.  Of the five long-term resident files reviewed, the two hospital files had shortfalls around documented interventions.  Interviews with caregivers and registered nurses supported knowledge around current care and support required for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level care plan had not been personalised to reflect the most common reasons and interventions for the resident’s high falls and there was no reference to the sacral abrasion in the long-term care plan (or a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(ii). One hospital level care plan did not include the use of a leg brace (an arm sling was identified).  There were no instructions for how or when to apply the leg brace or arm sling.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reflect interventions to support current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emergency plan in place and an approved fire evacuation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not documented any trial fire evacuations since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trial evacuations are held six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Stokeswood Rest Home &amp; Hospital</w:t>
    </w:r>
    <w:bookmarkEnd w:id="58"/>
    <w:r>
      <w:rPr>
        <w:rFonts w:cs="Arial"/>
        <w:sz w:val="16"/>
        <w:szCs w:val="20"/>
      </w:rPr>
      <w:tab/>
      <w:t xml:space="preserve">Date of Audit: </w:t>
    </w:r>
    <w:bookmarkStart w:id="59" w:name="AuditStartDate1"/>
    <w:r>
      <w:rPr>
        <w:rFonts w:cs="Arial"/>
        <w:sz w:val="16"/>
        <w:szCs w:val="20"/>
      </w:rPr>
      <w:t>29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