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Redwood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Redwood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August 2019</w:t>
      </w:r>
      <w:bookmarkEnd w:id="7"/>
      <w:r w:rsidRPr="009418D4">
        <w:rPr>
          <w:rFonts w:cs="Arial"/>
        </w:rPr>
        <w:tab/>
        <w:t xml:space="preserve">End date: </w:t>
      </w:r>
      <w:bookmarkStart w:id="8" w:name="AuditEndDate"/>
      <w:r w:rsidR="00A4268A">
        <w:rPr>
          <w:rFonts w:cs="Arial"/>
        </w:rPr>
        <w:t>23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Redwood provides rest home, hospital, dementia, and psychogeriatric levels of care for up to 82 residents.  During the audit, there were 79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Implementation is supported through the Bupa quality and risk management programme that is individualised to Redwood.  Quality initiatives are implemented, which provide evidence of improved services for residents.</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 service has made a number of environmental improvements and refurbishments since previous audit.</w:t>
      </w:r>
    </w:p>
    <w:p w:rsidRPr="00A4268A">
      <w:pPr>
        <w:spacing w:before="240" w:line="276" w:lineRule="auto"/>
        <w:rPr>
          <w:rFonts w:eastAsia="Calibri"/>
        </w:rPr>
      </w:pPr>
      <w:r w:rsidRPr="00A4268A">
        <w:rPr>
          <w:rFonts w:eastAsia="Calibri"/>
        </w:rPr>
        <w:t xml:space="preserve">The care home manager is appropriately qualified and experienced and is supported by a clinical manager (registered nurse).  </w:t>
      </w:r>
    </w:p>
    <w:p w:rsidRPr="00A4268A">
      <w:pPr>
        <w:spacing w:before="240" w:line="276" w:lineRule="auto"/>
        <w:rPr>
          <w:rFonts w:eastAsia="Calibri"/>
        </w:rPr>
      </w:pPr>
      <w:r w:rsidRPr="00A4268A">
        <w:rPr>
          <w:rFonts w:eastAsia="Calibri"/>
        </w:rPr>
        <w:t>This certification audit did not identify any shortfalls.</w:t>
      </w:r>
    </w:p>
    <w:p w:rsidRPr="00A4268A">
      <w:pPr>
        <w:spacing w:before="240" w:line="276" w:lineRule="auto"/>
        <w:rPr>
          <w:rFonts w:eastAsia="Calibri"/>
        </w:rPr>
      </w:pPr>
      <w:r w:rsidRPr="00A4268A">
        <w:rPr>
          <w:rFonts w:eastAsia="Calibri"/>
        </w:rPr>
        <w:t>The service is commended for achieving a continuous improvement rating awarded around staff training.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Bupa Redwood provides care in a way that focuses on the individual, values residents' quality of life and maintains their privacy and choice.  Staff demonstrated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day-to-day operations.  Goals are documented for the service with evidence of regular reviews.  A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Registered nursing cover is provided 24 hours a day, 7 days a week.  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that provides information on all levels of care.  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Care plans are reviewed every six months or earlier if required.  Files reviewed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 groups.  The programme encourages the maintenance of community links.  There are regular entertainers, outings, and celebrations.  Activities are focused on meaningful and sensory activities in the dementia care and psychogeriatric units.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caregivers who administer medications have an annual competency assessment and receive annual education.  Medication charts are reviewed three monthly by the general practitioner.   </w:t>
      </w:r>
    </w:p>
    <w:p w:rsidRPr="00A4268A" w:rsidP="00621629">
      <w:pPr>
        <w:spacing w:before="240" w:line="276" w:lineRule="auto"/>
        <w:rPr>
          <w:rFonts w:eastAsia="Calibri"/>
        </w:rPr>
      </w:pPr>
      <w:r w:rsidRPr="00A4268A">
        <w:rPr>
          <w:rFonts w:eastAsia="Calibri"/>
        </w:rPr>
        <w:t>All meals are provided on site.  There is a current food control plan in place.  Resident dietary needs are met, and alternative foods offered for dislikes.  There are nutritious snacks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in place.  Ongoing maintenance issues are addressed.  Chemicals are stored safely throughout the facility.  Resident rooms are spacious with an adequate number of shower and toilet facilities for the number of residents.  Cleaning and laundry services are well monitored through the internal auditing system.  There is sufficient space to allow the movement of residents around the facility using mobility aids.  There are a number of small lounge and dining areas throughout the facility in addition to its main communal areas in each wing.  The internal areas are able to be ventilated and heated.  The outdoor areas are safe and easily accessible and secure for the wings that require this.  Staff have planned and implemented strategies for emergency management.  Emergency systems are in place in the event of a fire or external disaster.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At the time of audit, there were three residents requiring handholding restraint and two residents with enablers.  Assessments and consents were completed for the enablers.  The service has an approval process that is applicable to the service.  The approval process includes ensuring the environment is appropriate and safe.  Assessments and care plans identify specific interventions or strategies to try (as appropriate) before restraint is used.  Restraint use is reviewed through the three-monthly evaluation, monthly restraint meetings and six-monthly multidisciplinary meeting, which includes family/whānau input.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4"/>
        <w:gridCol w:w="1280"/>
        <w:gridCol w:w="101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policy relating to the Code is implemented and staff could describe how the Code is incorporated in their everyday delivery of care.  Staff receive training about the Code during their induction to the service, which continues through in-service education and training.  Interviews with staff (five registered nurses from across each of the units, five caregivers, from across each of the units, three laundry staff, one housekeeper, two cooks, three activity staff, one maintenance person and the clinical manager)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Completed resuscitation treatment plan forms were evident on all nine resident files reviewed (three hospital including one young person with a disability, two rest home including one respite, two dementia and two psychogeriatric).  There was evidence of general practitioner (GP) completed and signed clinically not indicated resuscitation status.  General consent forms were evident on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discussions were evident in the whānau contact form and progress notes.  Discussions with registered nurses and caregivers confirmed that they are familiar with the requirements to obtain informed consent for personal care, entering rooms and so on. </w:t>
            </w:r>
          </w:p>
          <w:p w:rsidR="00EB7645" w:rsidRPr="00BE00C7" w:rsidP="00BE00C7">
            <w:pPr>
              <w:pStyle w:val="OutcomeDescription"/>
              <w:spacing w:before="120" w:after="120"/>
              <w:rPr>
                <w:rFonts w:cs="Arial"/>
                <w:b w:val="0"/>
                <w:lang w:eastAsia="en-NZ"/>
              </w:rPr>
            </w:pPr>
            <w:r w:rsidRPr="00BE00C7">
              <w:rPr>
                <w:rFonts w:cs="Arial"/>
                <w:b w:val="0"/>
                <w:lang w:eastAsia="en-NZ"/>
              </w:rPr>
              <w:t>All long-term resident files had signed admission agreements.  The EPOA had been activated in the files reviewed of dementia care and psychogeriatric care residents.  The respite care resident had a short-term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national Health and Disability Advocacy service is included in the resident information pack that is provided to residents and their family on admission.  Pamphlets on advocacy services were available at the entrance to the facility in three languages.  Interviews with the residents and relatives confirmed their understanding of the availability of advocacy (support) services.  Staff receive education and training on the role of advocacy services (July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by encouraging their attendance at functions and events and providing assistance to ensure that they are able to participate in as much as they can safely and desire to do.  Resident forums are held monthly with monthly newsletters sent to family and residents.  The recent and ongoing upgrades to the dementia units have been communicated with family with regular letters and additional family meetings to ensure they are fully aware of the plans and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received is maintained by the care home manager using a complaints’ register.  Documentation including follow-up letters and resolution demonstrated that complaints are being managed in accordance with guidelines set forth by the Health and Disability Commissioner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and a suggestion box are placed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complaints were reviewed in their entirety and reflected evidence of responding to complaints in a timely manner with appropriate follow-up actions taken.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investigating a serious complaint of abuse.  This audit did not evidence any abuse.  The DHB has been informed and have been supporting the service with family meetings.  Both resident files were reviewed for this complaint and both evidenced in-depth care plans that reflected all assessed needs as well as the stated preferences of the family.  Specialist input into care was documented and reflected in care plans.  Extensive monitoring was also documented (link 1.3.3.3 - extended tracer).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relating to the Code are held during the resident/family meetings.  Six residents, including four from the rest home and two hospital (including one younger person) and five relatives (one hospital, two rest home and two with family in the secure dementia unit) interviewed, reported that the residents’ rights are being upheld by the service.  Interviews with residents and family also confirmed their understanding of the Code and its application to aged residential care and residential disability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w:t>
            </w:r>
          </w:p>
          <w:p w:rsidR="00EB7645" w:rsidRPr="00BE00C7" w:rsidP="00BE00C7">
            <w:pPr>
              <w:pStyle w:val="OutcomeDescription"/>
              <w:spacing w:before="120" w:after="120"/>
              <w:rPr>
                <w:rFonts w:cs="Arial"/>
                <w:b w:val="0"/>
                <w:lang w:eastAsia="en-NZ"/>
              </w:rPr>
            </w:pPr>
            <w:r w:rsidRPr="00BE00C7">
              <w:rPr>
                <w:rFonts w:cs="Arial"/>
                <w:b w:val="0"/>
                <w:lang w:eastAsia="en-NZ"/>
              </w:rPr>
              <w:t>All nine resident files reviewed identified that cultural and/or spiritual values and individual preferences were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Twenty residents who identify as Māori were living at the facility.  One resident who identified as Māori interviewed, (rest home) confirmed that Māori cultural values and beliefs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Redwood has links with Toi Ohomai Institute of Technology to provide education sessions/trainings covering Cultural Safety.  There are also links with Te Roro ote Rangi, the local Māori ministers and church groups and the Māori Advocacy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Māori staff who are employed by the service.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as part of the initial assessment.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All care plans reviewed included the resident’s spiritual and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five caregivers; one from the psychogeriatric unit, two from the secure dementia unit, one hospital and one rest home, could describe how they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 hours a day.  The medical centre provides GP services and a group of four GPs review residents with four GP visits a week.  The general practitioner (GP) reviews residents identified as stable every three months, with more frequent visits for those residents whose condition is not deemed stable.  The GP interviewed was satisfied with the level of care that is being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specialist’s visits.  Physiotherapy services are provided on site, three times a week (nine hours per week).  A dietitian is available as needed.  There is a regular in-service education and training programme for staff.  A podiatrist is on site every six-weeks.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Bupa Redwood monitors adverse events using an electronic database (Riskman).  If the results reflect a negative trend, a corrective action plan is developed by the service.  If the results are above the benchmark, a corrective action plan is developed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Redwood was the first Care home in New Zealand awarded a ‘Dementia friendly accreditation’ in 2017. Redwood has been involved in building the dementia-friendly city steering group in Rotorua. The care home manager and other team members are part of the steering group. This involvement has actually increased the number of inquiries for dementia care which has led to the extension of their dementia communities – which is still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recorded on the family/whānau communication record, which is held in each resident’s file.  The most recent family survey documents that the overall relationship with the home has improved from 89% 2018 to 91%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have a section to indicate if next of kin have been informed (or not) of an accident/incident.  Ten accident/incident forms reviewed identified family were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Ministry of Health ‘Long-term Residential Care in a Rest Home or Hospital – what you need to know’ is provided to residents on entry.  The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r w:rsidRPr="00BE00C7">
              <w:rPr>
                <w:rFonts w:cs="Arial"/>
                <w:b w:val="0"/>
                <w:lang w:eastAsia="en-NZ"/>
              </w:rPr>
              <w:t>An introduction to the dementia and psychogeriatric unit booklet provides information for family, friends and visitors to the facility.  This booklet is included in the enquiry pack along with a new resident’s handbook providing practical information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Redwood provides hospital, rest home, dementia, psychogeriatric and residential disability - intellectual/physical for up to 82 residents.  There were 24 rest home level residents (including one respite) and 25 hospital level residents in the hospital/rest home units.  There were 16 residents in the dementia unit and 14 residents in the psychogeriatric unit.  There were three residents under the residential disability contract (one in the dementia unit, one hospital and one rest home).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There are service specific business, quality and health and safety goals.  Annual goals for the facility are regularly reviewed by the care home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at Redwood is an experienced registered nurse, she has been in the role since 2017 and has previous experience as a clinical manager.  She is supported by a clinical manager (registered nurse), who oversees clinical care and two-unit coordinators.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supported by the wider Bupa management team that includes an operations manager.  Bupa provides a comprehensive orientation and training/support programme for their managers.  Managers and clinical managers attend annual forums and regional forums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CM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care home manager, the clinical manager or Bupa relieving facility manager covers the care home manager’s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and to the Bupa regional manager.  Discussions with the managers and staff reflected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use, pressure areas, wounds, and medication errors.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established, implemented and are signed off when completed.  The services continued quality processes and clinical improvements have resulted in the recent family survey  showing improvements with their perception of staff, the residents’ rooms, and quality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committee.  The health and safety representatives were interviewed about the health and safety programme.  Risk management, hazard control and emergency policies and procedures are being implemented.  Hazard identification forms and a hazard register are in place.  There are procedures to guide staff in managing clinical and non-clinical emergencies.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the analysis of falls events and the identification of interventions on a case-by-case basis to minimise future falls.  Falls prevention equipment includes sensor mats and chair alarms.  Staff interviewed were able to discuss the falls preventions strategies implemented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Ten accident/incident forms were reviewed.  Each event involving a resident reflected a clinical assessment and follow-up by a registered nurse.  Neurological observations were conducted for unwitnessed falls.  Data collected on incident and accident forms were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were aware of their requirement to notify relevant authorities in relation to essential notifications with examples provided including one section 31 for a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Eleven staff files reviewed (four RNs, five caregivers, one activities coordinator and the cook)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 training programme provides new staff with relevant information for safe work practice.  There is an implemented annual education and training plan that exceeds eight hours annually.  There is an attendance register for each training session and an individual staff member record of training.  Staff are required to complete written core competencies during their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Twenty-one caregivers are employed to work in the dementia and psychogeriatric units.  Twenty caregivers and registered nurses have completed their Careerforce dementia modules, with one new staff member in the process of completing.  The Bupa dementia specialist has completed some education with the staff teams working in PG and dementia this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Sixteen registered nurses are employed and eight have completed their InterRAI training.  There are implemented competencies for registered nurses including (but not limited to) medication competencies, wound care.  </w:t>
            </w:r>
          </w:p>
          <w:p w:rsidR="00EB7645" w:rsidRPr="00BE00C7" w:rsidP="00BE00C7">
            <w:pPr>
              <w:pStyle w:val="OutcomeDescription"/>
              <w:spacing w:before="120" w:after="120"/>
              <w:rPr>
                <w:rFonts w:cs="Arial"/>
                <w:b w:val="0"/>
                <w:lang w:eastAsia="en-NZ"/>
              </w:rPr>
            </w:pPr>
            <w:r w:rsidRPr="00BE00C7">
              <w:rPr>
                <w:rFonts w:cs="Arial"/>
                <w:b w:val="0"/>
                <w:lang w:eastAsia="en-NZ"/>
              </w:rPr>
              <w:t>Over the past years, their attendance to in-service education sessions had been low. As a quality improvement, they now have training days for the team members in which they have combined several topics. This is done twice a month to ensure that they have options. They have seen a significant improvement in the over-all attendance. They have also reinforced toolbox talk education sessions in all communities.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There is a care home manager Monday - Friday and a clinical manager (RN) Monday - Friday.  There is an RN unit coordinator for the two secure units and a unit coordinator for the rest home/hospital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Unit specific staffing:</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(14 residents).</w:t>
            </w:r>
          </w:p>
          <w:p w:rsidR="00EB7645" w:rsidRPr="00BE00C7" w:rsidP="00BE00C7">
            <w:pPr>
              <w:pStyle w:val="OutcomeDescription"/>
              <w:spacing w:before="120" w:after="120"/>
              <w:rPr>
                <w:rFonts w:cs="Arial"/>
                <w:b w:val="0"/>
                <w:lang w:eastAsia="en-NZ"/>
              </w:rPr>
            </w:pPr>
            <w:r w:rsidRPr="00BE00C7">
              <w:rPr>
                <w:rFonts w:cs="Arial"/>
                <w:b w:val="0"/>
                <w:lang w:eastAsia="en-NZ"/>
              </w:rPr>
              <w:t>AM; One RN and two caregivers, PM; One RN and two caregivers (one long shift and one short), night; one RN and one caregiver.</w:t>
            </w:r>
          </w:p>
          <w:p w:rsidR="00EB7645" w:rsidRPr="00BE00C7" w:rsidP="00BE00C7">
            <w:pPr>
              <w:pStyle w:val="OutcomeDescription"/>
              <w:spacing w:before="120" w:after="120"/>
              <w:rPr>
                <w:rFonts w:cs="Arial"/>
                <w:b w:val="0"/>
                <w:lang w:eastAsia="en-NZ"/>
              </w:rPr>
            </w:pPr>
            <w:r w:rsidRPr="00BE00C7">
              <w:rPr>
                <w:rFonts w:cs="Arial"/>
                <w:b w:val="0"/>
                <w:lang w:eastAsia="en-NZ"/>
              </w:rPr>
              <w:t>Dementia unit (16 residents)</w:t>
            </w:r>
          </w:p>
          <w:p w:rsidR="00EB7645" w:rsidRPr="00BE00C7" w:rsidP="00BE00C7">
            <w:pPr>
              <w:pStyle w:val="OutcomeDescription"/>
              <w:spacing w:before="120" w:after="120"/>
              <w:rPr>
                <w:rFonts w:cs="Arial"/>
                <w:b w:val="0"/>
                <w:lang w:eastAsia="en-NZ"/>
              </w:rPr>
            </w:pPr>
            <w:r w:rsidRPr="00BE00C7">
              <w:rPr>
                <w:rFonts w:cs="Arial"/>
                <w:b w:val="0"/>
                <w:lang w:eastAsia="en-NZ"/>
              </w:rPr>
              <w:t>AM; One RN and two caregivers (one long and one short shift), PM; One enrolled nurse (EN) or level four caregiver plus one short shift caregiver, night; one level four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(24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AM; One RN and two caregivers (one long and one short shift), PM; one level four caregiver and one other caregiver (short shift), night; one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(25 residents – all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AM; One RN and four caregivers (two long and two short shifts), PM; one RN and four caregivers (two long and two short shifts).  The AM and PM caregivers shifts include one caregiver or an additional activities person who is rostered to stay in the hospital lounge.  Night; one RN and one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Separate laundry and cleaning staff are employed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Other residents or members of the public cannot view sensitive resident information.  Entries in records are legible, dated and signed by the relevant care staff.  Individual resident files demonstrated service integration with only medication charts held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procedures in place to safely guide service provision and entry to services.  Referring agencies establish the appropriate level of care required prior to admission of a resident.  Information gathered at admission is retained in resident’s records.  Relatives interviewed stated they were well informed on admission and had the opportunity to discuss the admission agreement with the manager.  The service has a well-developed information pack available for residents/families/whānau at entry, including admission to the dementia and PG units.  An advocate is available and offered to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reviewed aligned with the requirements of the ARC and ARHSS contract.  The nine admission agreements viewed were signed.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A Bupa transfer form, copy of the resident admission form, most recent GP consultation notes and medication information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was one resident self-administering on the day of audit.  A current competency assessment was in the residents file.  There are two medication rooms on site, and both have secured keypad access.  Medications fridges had daily temperature checks recorded and were within normal ranges.  All medications were securely and appropriately stored.  Registered nurses or senior caregivers who have passed their competency, administer medications.  Medication competencies are updated annually and include syringe drivers, sub cut fluids, blood sugars and oxygen/nebulisers.  There is a signed agreement with the pharmacy.  Medications are checked on arrival and any pharmacy errors recorded and fed back to the supplying pharmacy.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Eighteen medication profiles were sampled (six hospital, four rest home, four dementia and four psychogeriatric level of care).  All charts had photo identification and allergy status documented.  All medication sheets evidenced three monthly reviews by the GP.  Prescribed medication is signed electronically after being administered as witnessed on the day of the audit.  Effectiveness of PRN medication administered were documented in the electronic prescription.  Controlled drugs and registers aligned with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chef/kitchen manager who works from Sunday to Thursday and another cook/kitchenhand who works from Friday to Monday.  There are six kitchenhands covered morning and afternoon shifts.  All staff have food hygiene certificates.  The head chef oversees the procurement of the food and management of the kitchen.  There is a well-equipped kitchen and all meals are cooked on site.  Meals are delivered to the hospital and psychogeriatric unit in a bain marie and plated in the unit kitchenettes.  The rest home and dementia unit have their meals plated and delivered in hot boxes.  Meals taken to rooms on trays have covers to keep the food warm.  Special equipment such as lipped plates are available.  On the day of audit, meals were observed to be hot and well-presented and residents stated that they were enjoying their meal.  Staff were observed assisting residents with their midday meals.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weekly.  These were all within safe limits.  Food temperatures are checked (including the reheated evening meal) and these were all within safe limits.  The registered nurses complete a resident’s nutritional profile on admission, which identifies dietary requirements and likes and dislikes, a copy is provided to the kitchen.  This is reviewed six monthly as part of the care plan review.  Changes to residents’ dietary needs have been communicated to the kitchen.  Special diets and likes and dislikes were noted on the kitchen noticeboard for kitchen staff to access at all times.  The four-weekly menu cycle is approved by the Bupa dietitian.  There was evidence that there are additional nutritious snacks available over 24 hours.  Residents and families interviewed were generally very happy with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to the service would be if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(as appropriate).  InterRAI assessments were completed in all long-term resident files reviewed.  Bupa assessment booklets and an interim care plan were completed on all nine resident files within 24 hours of admission.  Personal needs, outcomes and goals of residents are identified.  Resident files reviewed demonstrated that a range of assessment tools were completed in resident files and reviewed at least six monthly including (but not limited to); falls, pressure areas and continence.  All files reviewed for residents under the ARHSS and ARCC contracts had a current interRAI assessment.  Vital signs and weights were monitored on a weekly to monthly basis dependant on needs.  Assessments were conducted in an appropriate and private manner.  Behaviour assessments had been completed for the dementia care and psychogeriatric files reviewed.  The outcomes of assessments formed the basis of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process and the outcomes are communicated to staff at shift handovers through verbal and written shift reports, progress notes and care plans.  Residents (rest home and hospital) and family interviews stated they were involved in the assessment process on admission and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process informs the development of the resident’s care plan.  Care plans reviewed were comprehensive and demonstrated service integration and demonstrated input from allied health.  All nine resident care plans were resident-centred and documented in detail their support needs.  Family members interviewed confirmed care delivery and support by staff is consistent with their expectations.  Whānau communication and meetings were evidenced in the family contact form and progress notes reviewed.  Long-term care plans in the dementia and psychogeriatric unit (PG) detailed care and support for behaviours that challenge, including triggers, associated risks and management.  Short-term care plans were in use for changes in health status and were evaluated on a regular basis and signed off as resolved.  There was evidence of service integration with documented input from a range of specialist care professionals.  Psychogeriatrician and mental health team support and advice was evidenced and documented.  Staff interviewed reported they found the care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All care plans reviewed included documentation that meets the need of the residents and had been updated as residents’ needs changed.  If external allied health requests or referrals are required, the clinical manager or unit coordinator initiates the referral (eg, wound care specialist, dietitian, or mental health team).  The GP interviewed on day of audit spoke highly of the service and confirmed of being kept informed of changes in resident condition.  Family members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and caregivers interviewed stated there is adequate equipment provided including continence and wound care supplies.  There were 21 wounds (five in the rest home, three dementia unit, two in the psychogeriatric unit and eleven in the hospital unit) currently being treated in the facility, comprising of four pressure injuries, four ulcers and thirteen skin tears.  All wounds had wound assessments, care plans interventions and ongoing evaluations completed in all resident files reviewed.  The chronic wounds were documented in the long-term care plans with interventions for care staff around the dressing changes, signs and symptoms of infection, position changes and pressure relieving equipment.  Photographs were taken to reflect improvement or deterioration.  Access to specialist advice and support is available as needed.  Care plans document allied health input.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registered nurses and caregivers demonstrated understanding of the individualised needs of residents.  Care plan interventions clearly demonstrated that residents’ needs are met.  There was evidence of monitoring charts being well utilised where required, including behaviour monitoring charts, two hourly turning charts for residents at risk of pressure injury and monthly weight and vital sign monitoring, food and fluid charts and daily activity checklists.  For residents where weight loss was identified, there was discussion with the GP and the resident prescribed high protein and calorie supplementary drinks.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activity coordinator (28 hours weekly) and three activities assistants (30 hours weekly) working Monday to Friday that coordinate and implement the programme for the facility.  On weekends the caregivers use an activities box that contains DVDs, games and music for resident activities.  The activity coordinator and two activities assistants have completed dementia training.  The service has employed a new activities assistant who is currently completing orientation.  The three activity assistants are allocated between rest home, hospital and dementia/PG unit.  The activity assistants have a two weekly rotational roster between the different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activities programme template is designed for high-end and low-end cognitive functions and caters for individual needs.  There is a weekly programme in large print on noticeboards in all unit lounges.  Residents have the choice of a variety of activities in which to participate, and every effort is made to ensure activities are meaningful and tailored to residents’ needs.  Those residents who prefer to stay in their room or who need individual attention have one-on-one visits to check if there is anything they need and to have a chat.  This is particularly noticeable in the psychogeriatric units where residents’ concentration spans are often short.  Activities include daily morning exercises, games, quizzes, music, sensory dough play and walks outside.  The residents play bingo and bowls in the activities room.  On the days of audit, residents were observed participating in exercises, reading in the library and listening to an entertainer.  There are interdenominational church services held in the facility every second Sunday.  Catholic Church members come in to give communion every Wednesday.  There are weekly van outings to the lake, RSA and rotary lunches.  There are regular entertainers visiting the facility.  Special events like birthdays, Easter, Mothers’ Day, Anzac Day and the Melbourne Cup are celebrated.  There is community input from the Lions clubs, other local aged care facilities and schools.  The young person with a disability (YPD) enjoys the van outings, board games and music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(MOL) on admission, which includes previous hobbies, community links, family, and interests.  A completed copy of the MOL is in the resident’s room for easy access to all staff.  The individual activity plan is incorporated into the ‘My Day My Way’ care plan and is reviewed at the same time as the care plan in all resident files reviewed, at least six monthly.  All nine resident files reviewed had completed MOL, activities care plans and activity registers.  Activity plans are evaluated at least six-monthly.  Resident meetings are held six weekly.  Residents/family have the opportunity to provide feedback on the activity programme through resident meetings and satisfaction surveys.  The activity team is currently working on residents’ request for a weekly movie night and increasing the variety of games in the after-hours activity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spoke positively about the activities programme and activities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nine files reviewed demonstrated that all interRAI assessments and care plans were evaluated at least six monthly or when changes to care occurred.  Evaluations are documented and identify progress to meeting goals.  Short-term care plans for short-term needs were evaluated and either resolved or added to the long-term care plan as an ongoing problem.  All changes in health status are documented and followed up.  The multidisciplinary review involves the RN, activities staff resident/family and clinical manager.  The files reviewed reflected evidence of family being involved in the planning of care and reviews and if unable to attend, they received a copy of the reviewed plans.  In all the files reviewed the care plans had been read and signed by EPOA/family.  There is at least a three-monthly review by the medical practitioner with majority residents being seen monthly.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to other health and disability services is evident in the resident files reviewed.  Referral documentation is maintained on resident files.  There was evidence of where residents had been referred to the wound care nurse specialist, mental health services for older people, speech language therapist and dietitian.  Discussion with the registered nurse identified that the service has access to a wide range of support either through the GP, DHB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were available.  Sharps containers were available and met the hazardous substances regulations for containers.  The hazard register identifies hazardous substances and staff indicated a clear understanding of processes and protocols.  Management of waste and hazardous substances is covered during orientation and staff have attended chemical safety training.  Gloves, aprons, goggles and face shields were available for staff.  A spills kit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11 March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four units comprising of a hospital unit, a secured dementia and psychogeriatric unit and a rest home unit.  The rest home section has two floors with a connecting lift and stairway.  Each unit has a large lounge and dining area with a number of smaller furnished alcoves serving as family/whānau rooms.  There is a large communal library and pool table for resident’s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maintenance manager who works from Monday to Friday who is on call afterhours and on weekends.  The Bupa 52-week planned maintenance programme is implemented to address reactive and planned maintenance.  Hot water temperatures are monitored and managed within 43-45 degrees Celsius.  Fire equipment is checked by an external provider.  All ensuites, showers and utility areas had non-slip vinyl flooring.  The facility has sufficient space for residents to mobilise using mobility aids and residents were observed moving around freely.  The external area is well maintained.  Residents had access to safely designed external areas that have shade.  The dementia and psychogeriatric outdoor areas were safely fenced.  The facility shares a van with the adjoining village, for transportation of residents to outside appointments and activities.  The van had a current registration and WOF.  The staff transporting residents held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and caregivers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toilets and showers in the rest home, hospital, dementia and psychogeriatric units.  All the dementia and psychogeriatric rooms have a hand basin. There are communal toilets located close to communal areas.  There are sufficient numbers of communal toilets and mobility bathrooms.  Fixtures, fittings and flooring are appropriate and toilet/shower facilities are constructed for ease of cleaning.  Communal, visitor and staff toilets are available and contained flowing soap and paper towels.  Communal toilets and bathrooms had appropriate signage and locks on the doors.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each room to allow care to be provided and for the safe use of mobility equipment, shower chairs and hoists.  There are two married couples who reside in the facility, one couple share the bedroom and use the other room as a lounge.  Each unit has a large spacious lounge area that is used for activities and small groups as well as for private social interaction.  There are smaller lounges for residents who prefer quiet, low stimulus areas.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the open plan large main lounge/dining area (with kitchenettes in the hospital and psychogeriatric wings) and several smaller lounges and family/whānau rooms in each wing for quiet activities such as reading or for visitors.  The lounge/dining areas are large enough to cater for activities.  Residents were observed to be moving freely with the use of mobility aids.  Dining and lounge furniture were well arranged to facilitate this.  Seating and space can be arranged to allow both individual and group activities to occur as observed on the days of the audit.  The communal areas are easily and safely accessible for residents and visitors who would prefer a quieter activity or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dedicated team of four cleaning staff who have access to a range of chemicals, cleaning equipment and protective clothing.  The standard of cleanliness is monitored through the internal audit programme.  Cleaning trolleys are stored in locked rooms throughout the facility when not in use.  Safety data sheets were available in the laundry, kitchen, sluice rooms and chemical storage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 site by dedicated laundry staff that work from 7 am to 2 pm seven days a week.  The laundry is spacious and well organised and divided into a ‘dirty and clean’ area.  Laundry staff member interviewed described appropriate systems for managing infectious laundry.  All chemicals were stored in a locked cupboard. There were adequate linen supplies sighted in the facility linen-store cupboards.  There was a clothes labelling machine in the laundry to minimise loss of resident’s personal laundry.  </w:t>
            </w:r>
          </w:p>
          <w:p w:rsidR="00EB7645" w:rsidRPr="00BE00C7" w:rsidP="00BE00C7">
            <w:pPr>
              <w:pStyle w:val="OutcomeDescription"/>
              <w:spacing w:before="120" w:after="120"/>
              <w:rPr>
                <w:rFonts w:cs="Arial"/>
                <w:b w:val="0"/>
                <w:lang w:eastAsia="en-NZ"/>
              </w:rPr>
            </w:pPr>
            <w:r w:rsidRPr="00BE00C7">
              <w:rPr>
                <w:rFonts w:cs="Arial"/>
                <w:b w:val="0"/>
                <w:lang w:eastAsia="en-NZ"/>
              </w:rPr>
              <w:t>There are sluice rooms in each part of the facility for the disposal of soiled water or waste.  The chemical provider audits the effectiveness of chemicals for laundry and cleaning services.  Residents and family members interviewed were satisfied with the standards of cleanliness and in the facility and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Backup batteries are available as alternative energy sources in case of main failure.  Oxygen cylinders are available and checked monthly.  There is an approved fire evacuation scheme in place and there are six monthly fire drills.  A resident building register is maintained.  Fire safety is completed with new staff as part of the health and safety induction and is ongoing.  All shifts have a current first aider on duty.</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light up on corridor lights that are visible from all areas in the facility.  In addition, the care team carry pagers that alert discreetly if call bells are activated.  Security policies and procedures are documented and implemented by staff.  The buildings are secure at night with afterhours doorbell access, security lighting and a night security guard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with radiators and heat pumps.  Resident bedrooms and communal areas are well ventilated and have adequate lighting.  Documentation and visual inspection evidenced that the environment is maintained at a safe and comfortable temperature.  There is dedicated smoking areas for residents and family.  All rooms have external windows that open, allowing plenty of natural sunlight.  The residents and family members interviewed confirmed temperatures in the communal areas and bedrooms were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an established infection control (IC) programme that is being implemented.  The infection control programme is appropriate for the size, complexity and degree of risk associated with the service and has been linked into the incident reporting system.  An RN is the designated infection control officer with support from the registered nurses and the clinical manager.  The IC team meets as part of the quality team meeting to review infection control matters.  Minutes are available for staff.  Regular audits have been conducted and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Hayman.  The infection control (IC) officer has maintained their practice by attending infection control updates.  The infection control team (the quality team) is representative of the facility.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committed to the ongoing education of staff and residents.  Education is facilitated by the infection control officer who has completed training to ensure knowledge of current practice.  All infection control training has been documented and a record of attendance has been maintained.  Visitors are advised of any outbreaks of infection and are advised not to attend until the outbreak had been resolved.  Information is provided to residents and visitors that is appropriate to their needs and this was documented in medical records.  Education around infection prevention and control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Infections are included on a monthly register and a monthly report is completed by the infection control coordinator.  There are standard definitions of infections in place appropriate to the complexity of service provided.  Infection control data is collated monthly and reported at the quality and staff meetings.  Benchmarking occurs against other Bupa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 forms are completed for all infections.  Infections are included on a monthly register and a monthly report is completed by the infection control coordinators.  Infection control data is collated monthly and reported at the quality meetings.  The infection control programme is linked with the quality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Systems in place are appropriate to the size and complexity of the facility.  A recent outbreak during June 2019 was well managed and the required notifications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Interviews with the caregiver and nursing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There were two residents with enablers (belts for the specialist chairs) and three residents requiring hand holding restraint during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(unit coordinator/RN)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were evident.  The files for three residents requiring handholding restraint and two residents using an enabler were reviewed.  The completed assessment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The care plan reviewed of three residents requiring hand holding restraint, included indications for use and risks associated with handholding.  Restraint use is reviewed through the three-monthly evaluation, monthly restraint meetings and six-monthly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three-monthly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three monthly through the restraint meeting and as part of the internal audit programme.  Restraint usage throughout the organisation is also monitored regularly and is benchmarked.  Review of this use across the group is discussed at the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55"/>
        <w:gridCol w:w="1280"/>
        <w:gridCol w:w="5129"/>
        <w:gridCol w:w="58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schedule that is being implemented.  In addition, opportunistic education is provided by way of toolbox talks.  Toolbox talks are held on a regular basis and staff are encouraged to participate.  A competency programme is in place with different requirements according to work type (eg, support worker, registered nurse, and cleaner).  Core competencies are completed annually, and a record of completion is maintained – competency register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noted that staff attendance at the training was lower than expected despite all training attendance being paid.  They reorganised the training to training days with staff allocated to the days.  Attendance at training has improved from 18 staff attending to 27 (averages).  Staff interviewed reacted very positively to the changes and stated that it was much better.  Resident and family surveys demonstrated that families and residents rated the quality of care had improved (8.9% to 9.1%) and the Net promoters score improving from 50 to 70.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Redwood Home &amp; Hospital</w:t>
    </w:r>
    <w:bookmarkEnd w:id="58"/>
    <w:r>
      <w:rPr>
        <w:rFonts w:cs="Arial"/>
        <w:sz w:val="16"/>
        <w:szCs w:val="20"/>
      </w:rPr>
      <w:tab/>
      <w:t xml:space="preserve">Date of Audit: </w:t>
    </w:r>
    <w:bookmarkStart w:id="59" w:name="AuditStartDate1"/>
    <w:r>
      <w:rPr>
        <w:rFonts w:cs="Arial"/>
        <w:sz w:val="16"/>
        <w:szCs w:val="20"/>
      </w:rPr>
      <w:t>22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