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Care Alliance 2016 Limited - Waimarie Private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Care Alliance 2016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Waimarie Private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September 2019</w:t>
      </w:r>
      <w:bookmarkEnd w:id="7"/>
      <w:r w:rsidRPr="009418D4">
        <w:rPr>
          <w:rFonts w:cs="Arial"/>
        </w:rPr>
        <w:tab/>
        <w:t xml:space="preserve">End date: </w:t>
      </w:r>
      <w:bookmarkStart w:id="8" w:name="AuditEndDate"/>
      <w:r w:rsidR="00A4268A">
        <w:rPr>
          <w:rFonts w:cs="Arial"/>
        </w:rPr>
        <w:t>23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Waimarie Private Hospital provides rest home and hospital level care for up to 52 residents. The service is operated by Care Alliance 2016 Limited and is managed by a business manager, facility manager, senior manager (clinical) and a clinical coordinator. Residents and family/whanau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(DHB).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The audit has resulted in six areas being identified as requiring improvement. These relate to quality and risk management, human resources management, currency of interRAI assessments and medication competency assessments. Three of the four areas from the previous audit have been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mission statement, philosophy and moto of the organisation.  Monitoring of the services provided to the owner/director (business manager)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Feedback is sought from residents and families. Adverse events are documented with corrective actions implemented. Actual and potential risks, including health and safety risks, are identified and mitigated.  Policies and procedures support service delivery and are current.  </w:t>
      </w:r>
    </w:p>
    <w:p w:rsidRPr="00A4268A">
      <w:pPr>
        <w:spacing w:before="240" w:line="276" w:lineRule="auto"/>
        <w:rPr>
          <w:rFonts w:eastAsia="Calibri"/>
        </w:rPr>
      </w:pPr>
      <w:r w:rsidRPr="00A4268A">
        <w:rPr>
          <w:rFonts w:eastAsia="Calibri"/>
        </w:rPr>
        <w:t xml:space="preserve">The appointment, orientation and management of staff is based on current good practice. There is ongoing education undertaken by staff which supports safe service delivery. Staff have annual individual performance reviews.  </w:t>
      </w:r>
    </w:p>
    <w:p w:rsidRPr="00A4268A">
      <w:pPr>
        <w:spacing w:before="240" w:line="276" w:lineRule="auto"/>
        <w:rPr>
          <w:rFonts w:eastAsia="Calibri"/>
        </w:rPr>
      </w:pPr>
      <w:r w:rsidRPr="00A4268A">
        <w:rPr>
          <w:rFonts w:eastAsia="Calibri"/>
        </w:rPr>
        <w:t xml:space="preserve">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of service delivery and promotes a team approach to care delivery. The registered nurses are responsible for the assessment, planning, provision, evaluation, review and discharge processes. Residents have interRAI assessments completed prior to entry and three weeks after entry to the service. When there are changes to the resident’s needs, a short-term plan is developed and integrated into a long-term care plan as needed. All long-term care plans are evaluated at least six monthly.</w:t>
      </w:r>
    </w:p>
    <w:p w:rsidRPr="00A4268A" w:rsidP="00621629">
      <w:pPr>
        <w:spacing w:before="240" w:line="276" w:lineRule="auto"/>
        <w:rPr>
          <w:rFonts w:eastAsia="Calibri"/>
        </w:rPr>
      </w:pPr>
      <w:r w:rsidRPr="00A4268A">
        <w:rPr>
          <w:rFonts w:eastAsia="Calibri"/>
        </w:rPr>
        <w:t>The service provides planned activities meeting the needs and interests of the residents as individuals and in group settings.</w:t>
      </w:r>
    </w:p>
    <w:p w:rsidRPr="00A4268A" w:rsidP="00621629">
      <w:pPr>
        <w:spacing w:before="240" w:line="276" w:lineRule="auto"/>
        <w:rPr>
          <w:rFonts w:eastAsia="Calibri"/>
        </w:rPr>
      </w:pPr>
      <w:r w:rsidRPr="00A4268A">
        <w:rPr>
          <w:rFonts w:eastAsia="Calibri"/>
        </w:rPr>
        <w:t>The on-site kitchen caters for residents. Specific dietary likes and dislikes are accommodated. The service has a four-week rotating menu which has been approved by a registered dietitian. Residents’ nutritional requirements are met. A food control plan has been approved and is displayed.</w:t>
      </w:r>
    </w:p>
    <w:p w:rsidRPr="00A4268A" w:rsidP="00621629">
      <w:pPr>
        <w:spacing w:before="240" w:line="276" w:lineRule="auto"/>
        <w:rPr>
          <w:rFonts w:eastAsia="Calibri"/>
        </w:rPr>
      </w:pPr>
      <w:r w:rsidRPr="00A4268A">
        <w:rPr>
          <w:rFonts w:eastAsia="Calibri"/>
        </w:rPr>
        <w:t>An appropriate medicine administration system was safely observed at the time of the audit. A process is in place to ensure safety for a resident who self-administers their own medicines.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Required maintenance is undertaken.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a non-restraint policy. There are policies and procedures that support safe minimisation of restraint should it be required. No enablers or restraints were in use at the time of audit.  Staff demonstrated a sound knowledge and understanding of the non-restraint policy.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undertaken monthly. Results of surveillance are analysed to assist in promoting infection prevention and reduction. The surveillance results are appropriately reported to staff and management in a timely manner. The surveillance programme is appropriate to the service setting.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2"/>
        <w:gridCol w:w="1280"/>
        <w:gridCol w:w="101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access complaints forms and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had been received over the past year and that actions taken, through to an agreed resolution, are documented and completed within the timeframes.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or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all residents able to speak English at the time of audit. Auckland hospital staff ensure interpreter services are provided for interim care residents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monthly newsletter which is provided to all residents and family members to keep them informed of matters of interest related to what is occurring around the facility such as activities and upcoming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described annual and longer term objectives and the associated operational plans. A sample of monthly reports to the business manager (owner/director) showed adequate information to monitor performance is reported including occupancy, resident and staff issues, emerging risks and issues. The business manager actively works at the facility and is aware of all activities on a day to day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is a registered nurse and he holds relevant qualifications and has been in the role for almost two years. Responsibilities and accountabilities are defined in a job description and individual employment agreement.  The facility manager confirmed knowledge of the sector, regulatory and reporting requirements and maintains currency through ongoing education and attendance at age care study days and DHB age care cluster group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Auckland District Health Board (ADHB) for respite, rest home and hospital level care and rehabilitation. On the day of audit there were 34 residents being 18 hospital level care, nine rest home level care, two respite and five interim care residents who are hospital level. Twenty-seven residents were receiving services under the Age Related Residential Care contract, two residents were receiving services under the Long Term Support Chronic Health Conditions Residential Care contract and five residents were receiving services under the ADHB Interim Care Scheme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pressure injuries. However, not all documented process is being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meeting minutes reviewed confirmed regular review and analysis of some quality indicators. Not all related information is reported and discussed at the staff meetings. Staff reported their involvement in quality and risk management activities through implementation of corrective actions. Relevant corrective actions are verbalised and documented on the handover sheet at each shift change and implemented to address any shortfalls. Resident and family satisfaction surveys are completed annually. The most recent survey (May 2019) showed no concerns were reported. The facility manager and the business manager confirmed any issues raised would be addressed immediately. This was confirmed in a documented corrective action plans from issues raised at the previous audit which identified all corrective actions have been completed by the service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service has a four year review time for policies and the facility manager is currently developing a timetable to ensure policies are all reviewed within the required timeframe.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management team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management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pressure injuries.  Management advised there have been no notifications of significant events made to the Ministry of Health, since the previous audit. There have been no police investigations, coroner’s inquests, issues based audits and any other notifications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documented performance review annually. The facility manager has a documented record of when staff appraisals are due.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not planned or well documented. Mandatory fire training occurs six monthly, medication management competencies and manual handling annually. Care staff have either completed or commenced a New Zealand Qualification Authority (NZQA) education programme to meet the requirements of the provider’s agreement with the DHB.  There are three trained and competent registered nurses who are maintaining their annual competency requirements to undertake interRAI assessments. Records reviewed demonstrated completion of the required training and completion of annual performance appraisals related to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Staffing levels meet the interRAI acuity level report findings.  Observations and review of a four-week roster cycle confirmed adequate staff cover has been provided, with staff replaced in any unplanned absence.  At least one staff member on duty has a current first aid certificate and there is 24 hour/seven days a week (24//7) RN coverage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(RN) works three days a week from 7am to 3pm and is on call. The clinical coordinator (RN) works Monday to Friday 9am to 5pm and is on call. The business manager (owner/director) works at the facility Monday to Friday and is on call. Dedicated kitchen staff cover from 7am to 6pm seven days a week and dedicated cleaning staff work 10.5 hours per day Monday to Thursday and five hours Friday and Saturday. Two diversional therapists cover Monday to Friday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policy is current and identifies all aspects of medicine management in line with the Medicine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the audit. The staff observed demonstrated good knowledge and had a clear understanding of the role and responsibilities related to each stage of medicine management.  Staff who administer medicines have not all completed the required annual competency as per the training records reviewed and interview with the clinical coordinator.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annual practising certificates and the pharmacy license were validated and records were maintained annually. The RNs check the medications against the prescription when delivered from the pharmacy. All medications sighted were within current use by dates. Clinical pharmacist input is provided on request and six monthly medication audits are performed by the pharmacist.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verification of the prescribers’ registration number on the electronic system. All requirements for pro re nata (PRN) medicines are met. The required three monthly GP reviews were consistently recorded on the electronic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self-administers medications at the time of the audit. Appropriate processes were in place to ensure this was managed safely.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three cooks team who cover the week. There is a kitchen hand that covers each day to assist the cook. The menu follows four-week summer and winter patterns and has been reviewed by a qualified dietitian within the last two years. Recommendations made at the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production, preparation, storage and disposal comply with current legislation and guidelines. The cook provided evidence of food storage, cleaning schedules and maintenance of the kitchen environment and equipment meeting all requirements. This was an area identified for improvement at the previous audit which has been addressed. The manager orders and purchases all food. Food temperatures, including high risk items are monitored appropriately and recorded as part of the food service planning.  The kitchen staff have all completed a safe food handling qualification and this was reviewed in the training records. The food control plan is dated expiry 15 January 2021 and is displayed in the reception.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individual resident on admission by the registered nurse and a dietary profile is developed. The personal food preferences, any special diets and/or modified texture requirements are made known to kitchen staff and accommodated in the daily meal plan. Special equipment to meet resident’s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residents and family members interviewed and from resident meeting minutes. Residents were seen to be given sufficient time to eat their meal in an unhurried fashion and those requiring assistance had this provided. There is sufficient staff on duty in the three dining areas at meal times to ensure appropriate assistance is available to residents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as a means to identify any deficits and to inform care planning. The sample of care plans reviewed had an integrated range of resident-related information. All initial assessments were completed and this was an area of improvement in the previous audit which has been closed out. The interRAI assessments are not all current and this is referenced to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medial orders are followed and care is well manged.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diversional therapists (one of whom works as an HCA) who provide the activities programme for the residents at Waimarie Private Hospital. Both hold the National Certificate in Diversional Therapy. The diversional therapist (DT) interviewed has worked at this facility since 2006. A social assessment and history is undertaken when the resident is admitted to the facility to ascertain resident’s needs, interests, abilities and social requirements. Activities assessments are regularly reviewed to help formulate an activities programme that is meaningful to the residents. The resident’s activity needs are evaluated six monthly and as part of the formal six monthly care plan and multidisciplinary review.</w:t>
            </w:r>
          </w:p>
          <w:p w:rsidR="00EB7645" w:rsidRPr="00BE00C7" w:rsidP="00BE00C7">
            <w:pPr>
              <w:pStyle w:val="OutcomeDescription"/>
              <w:spacing w:before="120" w:after="120"/>
              <w:rPr>
                <w:rFonts w:cs="Arial"/>
                <w:b w:val="0"/>
                <w:lang w:eastAsia="en-NZ"/>
              </w:rPr>
            </w:pPr>
            <w:r w:rsidRPr="00BE00C7">
              <w:rPr>
                <w:rFonts w:cs="Arial"/>
                <w:b w:val="0"/>
                <w:lang w:eastAsia="en-NZ"/>
              </w:rPr>
              <w:t>Activities are varied and are provided in a group situation or one-on-one. The programme reviewed reflected resident’s goals, ordinary patterns of life and include normal community activities. Residents and families are involved in and can attend the activities whenever they like. They can also attend the residents’ meetings held monthly. The DT’s also develop a monthly newsletter of events and up and coming celebrations or outings and a copy is sent out to all families and the residents receive a copy.</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find the programme fun and interesting and speak highly of the DTs and care staff who assist with activities when able and in the weekends.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records reviewed. If any changes occur the care staff report to the registered nurse on duty.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six monthly in conjunction with the six monthly interRAI re-assessments or as residents’ needs change (refer to 1.3.3.3). Where progress is different from expected the service responds by initiating changes in the plan of care. Examples of short term care plans being consistently reviewed and progress evaluated as clinically indicated were noted for wounds and urinary infections. When necessary for unresolved problems long term care plans are added to and updated. Residents and families interviewed provided examples of involvement in evaluation or progress and any resulting changes. Family members interviewed verified that they were always contacted when a change or incident occurred involving their relative. A family/whanau communication record is maintained in all resident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June 2020)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and observation of the environment.  The environment was hazard free, that residents were safe and independence was promoted. Maintenance repairs are followed up and signed off when completed. The three items of maintenance that required follow up as identified in the previous audit have all been undertaken and the criterion is now fully attained.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members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a long term care facility with infection definitions reflecting a focus on symptoms rather than on laboratory results. This includes urinary tract infections, soft tissue, fungal, eye, gastro-intestinal, the upper and lower respiratory tract and skin infections. When an infection is identified a record of this documented on the infection reporting form reviewed. The clinical coordinator is the infection control coordinator (ICC) and reviews all reported infections. Monthly surveillance data is collated and analysed to identify any trends, possible causative factors and required actions. Results of the surveillance programme are shared with staff at staff meetings and at staff handovers. Graphs are produced that identify any trends.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new infections and required management plans are discussed at staff handover to ensure early detection occurs. Surveillance results are then shared with staff at the staff meetings. There have been no outbreaks of infection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they be required. Policy is being met related to maintaining a restraint free environment. No enablers or restraints were being used at the time of audit as confirmed by observation, staff and management.  The restraint coordinator (FM) would provide support and oversight for enabler and restraint management in the facility, should it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identifies enablers as the least restrictive and used voluntarily at their request.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6012"/>
        <w:gridCol w:w="2261"/>
        <w:gridCol w:w="28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Key components of quality service delivery are explicitly identified in policy. These included the reporting of incident and accidents, complaints management, infection control, health and safety and restraint management to the business manager. However, not all these issues were documented in the reports sighted. The facility manager and the business manager said they were discussed but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only key components of service delivery which are clearly documented and reported are related to incidents and accidents and health and safety.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key components of service delivery are reported to the business manager to show how they are linked to the quality management system described in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and analysed but not evaluated or trended. The results of quality data collected is not all communicated to staff at monthly meetings. The facility manager stated any findings are communicated to staff on a day to day basis, but this information is passed on verbally. This was confirmed during staff interviews.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showed that the only quality results reported at staff meetings related to incidents and accidents and challenging behaviour. Quality data results are computerised on a monthly basis but there is no evaluation identified and no trending against previously collected data is undertaken.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quality data is evaluated and trended and that information is communicated to all service providers.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used to measure achievement against the quality and risk management plan implementation is the internal audit process. There is a documented audit programme in policy which is not being followed. The facility manager has developed a shortened version of the internal audits to be undertaken but this occurs on an ad-hoc basis as there are no set dates shown for when each audit is to be undertaken. The facility manager is aware that audits requires ‘a catch-up’ and he stated he was working on this.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internal audit requirements set out in policy are not being followed so it is difficult to ascertain a true measure of achievement against the quality and risk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internal audit plan shown in policy is being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undertake education on-site and off-site. There is no education plan in place, but staff are made aware of relevant off-site training as it becomes available. On-site education is undertaken for mandatory training such as fire evacuation drills (six monthly) and manual handling annually. The health care assistants who had not completed a NZQA qualification were assisted to undertake a year-long programme which has given them an advanced diploma in health. Four staff attended this during 2018-2019 with completion occurring in August. Education undertaken on site is shown on the computer, but it is not documented in staff files and it is very difficult to know who has attended each training session. Staff confirmed during interview they are trained according to their level of competency and that if they ask for in-house education a session is always organised. Staff are looking forward to the on-line training which the provider has purchased and is to commence in October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education plan in place which identifies ongoing education. Documentation in staff files does not identify what training and education each staff member has attended for 2018-2019.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of documented planned, appropriate ongoing staff training and education and that attendance is documented in each staff member’s file.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was interviewed. Medication records were reviewed. Four of five RNs and seven healthcare assistants (HCAs) are medication administrators and two HCAs are ‘checkers’. The medication training records reviewed evidenced training was provided for staff during the year on medication topics such as insulin management, warfarin management and other topics; however, training did not evidence that staff responsible for administering medications had completed the annual competency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who administer medicines have not completed the required annual competency questionnaire and practicum for medication administration.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who administer medicines have completed the annual medication competencies required to perform the function for each stage they manage.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within the first 24 hours are completed for all residents on admission. This was an area requiring improvement identified in the last audit (1.3.4.2) which has been addressed.  However, the interRAI assessment summary was reviewed and it was evident that the residents’ interRAI assessments were not up-to-date. One initial interRAI admission assessment had not been completed for a resident. This was also identified at the previous audit (1.3.3.3).  Three registered nurses have interRAI competencies which were current. A schedule has been developed by the clinical coordinator which has recently been implemented. The care plans completed had not been signed and dated to evidence any input from the resident and or the family/representative.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finding in the last audit has not been addressed. One resident admitted in July 2019 has not had the interRAI assessment completed in the required timeframe of three weeks post admission. Currently eight interRAI re-assessments are overdue. Care plans have not been signed off by the resident and/or family when updated.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interRAI assessments are up to date and that care plans reflect that the resident/family/representative have been involved with the development and implementation of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Care Alliance 2016 Limited - Waimarie Private Hospital</w:t>
    </w:r>
    <w:bookmarkEnd w:id="58"/>
    <w:r>
      <w:rPr>
        <w:rFonts w:cs="Arial"/>
        <w:sz w:val="16"/>
        <w:szCs w:val="20"/>
      </w:rPr>
      <w:tab/>
      <w:t xml:space="preserve">Date of Audit: </w:t>
    </w:r>
    <w:bookmarkStart w:id="59" w:name="AuditStartDate1"/>
    <w:r>
      <w:rPr>
        <w:rFonts w:cs="Arial"/>
        <w:sz w:val="16"/>
        <w:szCs w:val="20"/>
      </w:rPr>
      <w:t>23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