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Stillwater Gardens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Stillwater Gardens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September 2019</w:t>
      </w:r>
      <w:bookmarkEnd w:id="7"/>
      <w:r w:rsidRPr="009418D4">
        <w:rPr>
          <w:rFonts w:cs="Arial"/>
        </w:rPr>
        <w:tab/>
        <w:t xml:space="preserve">End date: </w:t>
      </w:r>
      <w:bookmarkStart w:id="8" w:name="AuditEndDate"/>
      <w:r w:rsidR="00A4268A">
        <w:rPr>
          <w:rFonts w:cs="Arial"/>
        </w:rPr>
        <w:t>17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Stillwater Gardens Lifecare provides rest home and hospital level care for up to 69 residents. The service is operated by Heritage Lifecare Limited and managed by a care home and village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boards. The audit process included review of policies and procedures, review of residents’ and staff files, observations and interviews with residents, family members, managers, staff, contracted allied health providers and a general practitioner. </w:t>
      </w:r>
    </w:p>
    <w:p w:rsidRPr="00A4268A">
      <w:pPr>
        <w:spacing w:before="240" w:line="276" w:lineRule="auto"/>
        <w:rPr>
          <w:rFonts w:eastAsia="Calibri"/>
        </w:rPr>
      </w:pPr>
      <w:r w:rsidRPr="00A4268A">
        <w:rPr>
          <w:rFonts w:eastAsia="Calibri"/>
        </w:rPr>
        <w:t xml:space="preserve">This audit has resulted in areas requiring improvement relating to care planning and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Stillwater Gardens Lifecare.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Stillwater Gardens Lifecare provides services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and site specific plans for the facility.  Monitoring of the services provided to the support office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reviews.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Stillwater Gardens Lifecare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Three enablers were in use at the time of audit. No restraints were in use.  A comprehensive assessment, approval and monitoring process with regular reviews occurs for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3"/>
        <w:gridCol w:w="1280"/>
        <w:gridCol w:w="94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Stillwater Gardens Lifecare (Stillwater)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All residents’ files reviewed of residents in the secure unit had and activated Enduring Power of Attorney (EPOA)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residents’ family members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are documented and completed within the timeframes.  Action plans showed any required follow up and improvements have been made where possible. The care home and village manager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and one in place from the previous provider has been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Stillwater and family members of residents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Stillwater provides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in Stillwater at the time of audit who identified as Māori, however interviews verified that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Stillwater encourages and promotes good practice through evidence-based policies, input from external specialist services and allied health professionals, for example, the hospice/palliative care team, diabetes nurse specialist, wound care specialist, infection control advisor and mental health services for older persons, and education of staff. The GP and the visiting hospice nurse confirmed the service sought prompt and appropriate medical intervention or advice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ongoing education and training, to ensure staff are equipped to provide the care residents need. All staff working in the secure unit are either trained or attending training in caring for clients with dementia.</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an ongoing initiative aimed at a reduction in the number of falls, a reduction in the number of restraints being used and a reduction in the number of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Nelson Marlborough District Health Board (NMDHB) when required.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plans, which are reviewed annually and are site specific, outline the purpose, values, scope, direction and goals of Stillwater Gardens Lifecare. The documents described annual and longer-term objectives and the associated operational plans. A sample of monthly reports to the support office showed adequate information to monitor performance is reported including financial, operational, staffing and occupancy, risks, incidents and trend analysis.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care home and village manager who holds relevant qualifications and has been in the role for three months. She is supported by the support office. Responsibilities and accountabilities are defined in a job description and individual employment agreement. The manager confirmed knowledge of the sector, regulatory and reporting requirements and maintains currency through ongoing attendance at sector and the organisation’s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Nelson Marlborough District Health Board for respite, complex medical conditions, palliative care, rest home, hospital and dementia care. Contracts are also held with the Ministry of Health for young people with a disability (YPD) and the Canterbury District Health Board (CDHB) for one individual resident. There was one private paying resident. Sixty-six residents were receiving services under the contracts (There were 22 rest home residents including one respite and one YPD, 29 hospital residents including one under the CDHB contract and 15 dementia care residents)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care home and village manager is absent, an interim manager provided by the organisation carries out all the required duties under delegated authority. During absences of key clinical staff, the clinical management is overseen by a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(HLL) has a planned quality and risk system that reflects the principles of continuous quality improvement. This includes management of incidents and complaints, audit activities, a regular patient satisfaction survey, monitoring of outcomes, and clinical incidents including infections and wounds.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improvement, registered nurse and staff meetings. Staff reported their involvement in quality and risk management activities through audit activities and feedback provided at staff meetings. Relevant corrective actions are developed and implemented to address any shortfalls. Resident and family satisfaction surveys are completed annually. The most recent survey since purchase has not yet been analysed, however the manager did check and noted that a lack of activities on the weekends was identified. The diversional therapists have now implemented a plan for care staff to follow.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mostly completed (refer criterion 1.3.5.2), incidents were investigated, action plans developed and actions followed-up in a timely manner. Adverse event data is collated, analysed and reported to the support office.</w:t>
            </w:r>
          </w:p>
          <w:p w:rsidR="00EB7645" w:rsidRPr="00BE00C7" w:rsidP="00BE00C7">
            <w:pPr>
              <w:pStyle w:val="OutcomeDescription"/>
              <w:spacing w:before="120" w:after="120"/>
              <w:rPr>
                <w:rFonts w:cs="Arial"/>
                <w:b w:val="0"/>
                <w:lang w:eastAsia="en-NZ"/>
              </w:rPr>
            </w:pPr>
            <w:r w:rsidRPr="00BE00C7">
              <w:rPr>
                <w:rFonts w:cs="Arial"/>
                <w:b w:val="0"/>
                <w:lang w:eastAsia="en-NZ"/>
              </w:rPr>
              <w:t>The manager described essential notification reporting requirements, including for pressure injuries. They advised there have been six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With the exception of two care staff, all have completed or have commenced a New Zealand Qualification Authority education programme to meet the requirements of the provider’s agreement with the DHB. The two mentioned, are waiting to commence the training.  A staff member is the internal assessor for the programme.  Staff working in the dementia care area have completed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a four 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Stillwater when they have been assessed and confirmed by the local Needs Assessment and Service Coordination (NASC) Service, as requiring the services that Stillwater provides. Prospective residents and/or their families are encouraged to visit the facility prior to admission and meet with the facility manager (FM) or the interim clinical services manager (ICSM).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Files reviewed of residents in the secure unit, have a specialist authorisation for placement in the unit and an activated Enduring Power of Attorney (EPOA) in place.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NMDHB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ICSM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June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registered with the Tasman District Council and expires 31 July 2020.</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at any time night or day.</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Stillwater receives a referral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Stillwater are initially assessed using a range of nursing assessment tools, such as a pain scale, falls risk, skin integrity, nutritional screening, oral health and depression scale, to identify any deficits and to inform initial care planning. Within three weeks of admission long term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verified that the RNs are familiar with requirement for reassessment of a resident using the interRAI assessment tool when a resident has increasing or changing need levels. </w:t>
              <w:br/>
              <w:br/>
              <w:t>All residents have current interRAI assessments completed by one of five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plans reviewed reflected the overall generic support needs of residents. However, the outcomes of the integrated assessment process and other relevant clinical information including the interRAI assessments was not consistently reflected in all care plans reviewed, specifically in relation to client’s individualised needs and for clients with complex needs. Care plans at times did not evidence service integration with progress notes, medical and allied health professional’s notations. Any change in care required was evidenced to be occurring and verbally passed on to relevant staff, however, was at times not documented. The lack of documentation regarding fully describing the detailed care the residents required and changing needs was an area verified by the RNs interviewed as requiring attention.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in the secure unit, had behavioural management plans in place that included triggers and interventions for behaviours that challenge.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that referred to in criterion 1.3.5.2, documentation, observations and interviews verified that the care provided to residents was consistent with their needs, goals and the plan of care. The attention to meeting a diverse range of resident’s individualised needs was evident in all areas of service provision. However, the required interventions requested around pressure injury management, a request for the resident to be given a medication and the requirement for neurological assessment to be undertaken when someone had an unwitnessed fall was not able to be verified as occurring in a timely manner. This is an area requiring attention.</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good standard. Care staff confirmed that care was provided as outlined in verbal handovers and supervision rather than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who provides activities to all residents including those from the village.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 twenty-four-hour care and activities plan in place that addresses the resident’s twenty-four-hour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under sixty-five years under a young person with disability contract is enabled to participate in community events and visits that the resident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exercise sessions, visiting entertainers, quiz sessions, church services, bowls, mingling with the preschool children, outings, walks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26 July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There are areas in the dementia wing that encourage purposeful walking including easy access to safe outdoor spaces.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that any requests are appropriately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bedrooms have a full ensuite.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 facility includes places where young people with disabilities can find privacy within communal spaces.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emergency plan considers the special needs of people with dementia and young people with disabilities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fire evacuation plan was approved by the New Zealand Fire Service on 28 October 2009.  A trial evacuation takes place six-monthly with a copy sent to the New Zealand Fire Service, the most recent being on 23 July 2019. The orientation programme includes fire and security training.  Staff confirmed their awareness of the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occupancy of residents and the Ministry of Civil Defence and Emergency Management recommendations for the region. Water storage tanks are in the ceiling, and there is a generator available for hire.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most have doors that open onto an outside garden area. Heating is provided by underfloor in residents’ rooms in the communal areas. There are air conditioners in all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through the implementation of an appropriate infection prevention and control (IPC) programme. Infection control management is guided by a comprehensive and current infection control manual, developed at organisational level with input from the ICSM.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ICSM assisted by the senior RN is the designated infection control nurse coordinator, whose role and responsibilities are defined in a job description. Infection control matters, including surveillance results, are reported monthly to the FM and tabled at the monthly RN meetings. Infection control statistics are entered in the organisation’s electronic database and benchmarked within the organisation’s other facilities. The organisation’s quality assurance lead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The ICC has undertaken post graduate training in infection prevention and control and attended relevant study days provided by the Canterbury District Health Boards (CDHB) microbiologist, as verified in training records sighted. Well-established local networks with the infection control team at the DHB are available and expert advice from the CDHB microbiologist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was evidence that additional staff education has been provided in response. Training has been provided by the microbiologist from the CDHB, around the treatment or non-treatment of infections. The GPs are part of the process to minimise the use of antibiotics at Stillwater. Clear guidelines determine infections and treatment criteria. Interviews with ICSM and the ICC indicate there has been a 75% reduction in the incidence of infections at Stillwater. However there is no supporting evidence or an evaluation that can determine specific actions taken that resulted in the reduction.</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An initiative to reduce the high number of infections and antibiotic use has according to interviews, had positive results. Additional evidence to support this however is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three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has not been used in the facility for at least the past five years, according to staff interviewed.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54"/>
        <w:gridCol w:w="1280"/>
        <w:gridCol w:w="7454"/>
        <w:gridCol w:w="2247"/>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captured the generic needs of the residents. Three of twelve files reviewed of residents with complex present and potential needs related to their diagnosis had a range of documentation in place detailing input from a variety of allied professionals; however, there was no co-ordinated nursing plan that reflected the sometimes daily changes in management strategies to provide a co-ordinated approach to manage these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Potential problems that could occur as a result of the related diagnosis, had no documentation that identified observations required to be monitored to detect a potential deterioration that required interventions. Specifics identified, for example, was a lack of documentation around the management of a resident’s pain, the planned approach as the diagnosis identified the resident was likely to present with pain at some stage, specific details of the requested management of a resident’s agitation, management of the potential problems related to a diagnosis of chronic respiratory condition, and the potential problems of a resident with a bowel cancer diagnosis.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three of four RNs verified this finding. One of the three care plans was updated to fully reflect the resident’s need, on the final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in care plans did not always describe fully the support the resident required to meet their needs, specifically regarding pain, chronic respiratory disease, potential for pain, and management of a resident’s agitation.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care plan describes fully the support the resident requires to meet their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residents with facility acquired stage two pressure injuries, had care plans that identified a two hourly turning regime was required. All three residents on day one were observed not to have a change in position during the day. The absence of two hourly turns occurring for all three residents was verified by the recordings on the turning chart which were not documented. A resident’s pressure relieving mattress was noted to be faulty. Progress notes on all three residents deemed ‘cares provided as per care plan’. On the second day one of the clients was put on the bed after two hours, however one resident, who was now also noted to have reddened heels did not have a position change or heel protectors in place. The third resident was not observed to be moved. </w:t>
            </w:r>
          </w:p>
          <w:p w:rsidR="00EB7645" w:rsidRPr="00BE00C7" w:rsidP="00BE00C7">
            <w:pPr>
              <w:pStyle w:val="OutcomeDescription"/>
              <w:spacing w:before="120" w:after="120"/>
              <w:rPr>
                <w:rFonts w:cs="Arial"/>
                <w:b w:val="0"/>
                <w:lang w:eastAsia="en-NZ"/>
              </w:rPr>
            </w:pPr>
            <w:r w:rsidRPr="00BE00C7">
              <w:rPr>
                <w:rFonts w:cs="Arial"/>
                <w:b w:val="0"/>
                <w:lang w:eastAsia="en-NZ"/>
              </w:rPr>
              <w:t>Five incidents of unwitnessed falls by residents who were deemed not competent to make decisions, had no evidence of neurological assessments being undertaken post falls. The incident form did however have documentation stating ‘did not hit head’. Interview with the interim clinical services manager (ICSM) verified a neurological assessment had not occurred.</w:t>
            </w:r>
          </w:p>
          <w:p w:rsidR="00EB7645" w:rsidRPr="00BE00C7" w:rsidP="00BE00C7">
            <w:pPr>
              <w:pStyle w:val="OutcomeDescription"/>
              <w:spacing w:before="120" w:after="120"/>
              <w:rPr>
                <w:rFonts w:cs="Arial"/>
                <w:b w:val="0"/>
                <w:lang w:eastAsia="en-NZ"/>
              </w:rPr>
            </w:pPr>
            <w:r w:rsidRPr="00BE00C7">
              <w:rPr>
                <w:rFonts w:cs="Arial"/>
                <w:b w:val="0"/>
                <w:lang w:eastAsia="en-NZ"/>
              </w:rPr>
              <w:t>A visit by the GP in the morning resulted in the GP requesting a subcutaneous medication to improve a resident’s comfort. The medication was not onsite and was unable to be provided to the resident till 7pm when the pharmacy delivered. Interview with the ICSM and an RN, verified this was correct.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provided to residents was not always consistent with meeting the residents’ assessed needs or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residents receive the care required to meet their assessed needs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Stillwater Gardens Lifecare</w:t>
    </w:r>
    <w:bookmarkEnd w:id="58"/>
    <w:r>
      <w:rPr>
        <w:rFonts w:cs="Arial"/>
        <w:sz w:val="16"/>
        <w:szCs w:val="20"/>
      </w:rPr>
      <w:tab/>
      <w:t xml:space="preserve">Date of Audit: </w:t>
    </w:r>
    <w:bookmarkStart w:id="59" w:name="AuditStartDate1"/>
    <w:r>
      <w:rPr>
        <w:rFonts w:cs="Arial"/>
        <w:sz w:val="16"/>
        <w:szCs w:val="20"/>
      </w:rPr>
      <w:t>16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