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Kiri Te Kanawa Retirement Village Limited - Kiri Te Kanawa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Kiri Te Kanawa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Kiri Te Kanawa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September 2019</w:t>
      </w:r>
      <w:bookmarkEnd w:id="7"/>
      <w:r w:rsidRPr="009418D4">
        <w:rPr>
          <w:rFonts w:cs="Arial"/>
        </w:rPr>
        <w:tab/>
        <w:t xml:space="preserve">End date: </w:t>
      </w:r>
      <w:bookmarkStart w:id="8" w:name="AuditEndDate"/>
      <w:r w:rsidR="00A4268A">
        <w:rPr>
          <w:rFonts w:cs="Arial"/>
        </w:rPr>
        <w:t>27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Kiri Te Kanawa provides rest home, hospital and dementia level of care for up to 127 residents.  There were 97 residents at the time of the audit.</w:t>
      </w:r>
    </w:p>
    <w:p w:rsidRPr="00A4268A">
      <w:pPr>
        <w:spacing w:before="240" w:line="276" w:lineRule="auto"/>
        <w:rPr>
          <w:rFonts w:eastAsia="Calibri"/>
        </w:rPr>
      </w:pPr>
      <w:r w:rsidRPr="00A4268A">
        <w:rPr>
          <w:rFonts w:eastAsia="Calibri"/>
        </w:rPr>
        <w:t>This surveillance audit was conducted against a subset of the relevant Health and Disability Standards and the contract with the district health board.  The audit process included the review of policies and procedures, the review of residents and staff files, observations, interviews with residents, family, management, staff, and a nurse practitioner.</w:t>
      </w:r>
    </w:p>
    <w:p w:rsidRPr="00A4268A">
      <w:pPr>
        <w:spacing w:before="240" w:line="276" w:lineRule="auto"/>
        <w:rPr>
          <w:rFonts w:eastAsia="Calibri"/>
        </w:rPr>
      </w:pPr>
      <w:r w:rsidRPr="00A4268A">
        <w:rPr>
          <w:rFonts w:eastAsia="Calibri"/>
        </w:rPr>
        <w:t xml:space="preserve">The village manager is appropriately qualified and experienced and is supported by a clinical manager (registered nurse) who oversees the care centre.  There are quality systems and processes being implemented.  Feedback from residents and families was very positive about the care and the services provided.  </w:t>
      </w:r>
    </w:p>
    <w:p w:rsidRPr="00A4268A">
      <w:pPr>
        <w:spacing w:before="240" w:line="276" w:lineRule="auto"/>
        <w:rPr>
          <w:rFonts w:eastAsia="Calibri"/>
        </w:rPr>
      </w:pPr>
      <w:r w:rsidRPr="00A4268A">
        <w:rPr>
          <w:rFonts w:eastAsia="Calibri"/>
        </w:rPr>
        <w:t>There are two areas of continuous improvement awarded around the implementation of corrective action plans and the ‘Project Delicious’ food service.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residents and relatives confirmed that residents and where appropriate their families, are involved in care decisions.  Regular contact is maintained with families including when a resident is involved in an incident or has a change in their current health.  There is an established system implemented for the management of complaints.  There are very few complaints received.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to the manager and clinical manager are responsible for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Registered nursing cover is provided seven days a week and on call 24/7.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InterRAI assessments, risk assessments, care plans, interventions and evaluations are completed by the registered nurses.  Care plans demonstrated service integration.  Residents and family interviewed confirmed they were involved in the care plan process and review and were informed of any changes in resident health status.  The general practitioner completes an admission visit and reviews the residents at least three 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The programme meets the abilities and recreational needs of the group of residents.  Residents are encouraged to maintain links with community groups.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nurse practitioner reviews medications three monthly.  </w:t>
      </w:r>
    </w:p>
    <w:p w:rsidRPr="00A4268A" w:rsidP="00621629">
      <w:pPr>
        <w:spacing w:before="240" w:line="276" w:lineRule="auto"/>
        <w:rPr>
          <w:rFonts w:eastAsia="Calibri"/>
        </w:rPr>
      </w:pPr>
      <w:r w:rsidRPr="00A4268A">
        <w:rPr>
          <w:rFonts w:eastAsia="Calibri"/>
        </w:rPr>
        <w:t>The menu is designed by a dietitian at an organisational level.  All baking and meals are cooked on site.  Individual and special dietary needs are accommodated.  Nutritious snacks are available 24 hours in the dementia care unit.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were stored safely throughout the facility.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were two residents with restraint and five residents with enablers during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hold integrated meetings with the health and safety team.  A monthly infection control report is completed, trends identified and acted upon.   Benchmarking occurs and a six-monthly comparative summary is completed.  The service has had two outbreaks during 2019 which have been appropriately managed and promptly reported to public health.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a visible location.  Information about complaints is provided on admission.  Interviews with seven residents (four hospital and three rest home with one in a serviced apartment) and family,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that includes written and verbal complaints, dates and actions taken and demonstrates that complaints are being managed in a timely manner.  The complaints process is linked to the quality and risk management system.  Three complaints received in 2019 (year to date) have been managed in a timely manner and are documented as resolved.  One of these complaints was lodged with HDC on 15 February 2019.  This complaint was referred on to HDC Advocacy services by HDC and has now been resolved.</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information on how to access advocacy services through the HDC Advocacy Service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  Evidence of families being kept informed is documented on the electronic database and in the residents’ progress notes.  Six family interviewed (three hospital, two dementia, one rest home) stated they were well-informed.  Ten incident/accident forms and corresponding residents’ files were reviewed, and all identified that the next of kin were contacted.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Kiri Te Kanawa is a Ryman Healthcare retirement village located in Gisborne.  They are certified to provide rest home, hospital (geriatric and medical) and dementia levels of care in their care centre for up to 97 residents.  In addition, there are 30 serviced apartments that are certified to provide rest home level care.  In the care centre, there are 81 dual-purpose (rest home/hospital) beds and sixteen beds in the secure unit for dementia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Occupancy in the care facility during the audit was 37 rest home, 42 hospital and 13 dementia level residents.  In addition, there were five rest home level residents in the serviced apartments.  There were four rest home level residents on respite.  The remaining residents were on an aged 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service philosophy that guides quality improvement and risk management.  Specific values have been determined for the facility.  Four organisational objectives for 2019 are defined with evidence of monthly reviews and quarterly reporting to senior managers on progress towards meeting these objectives.  Objectives and the progress towards meeting these objectives are posted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his role for five years.  He holds over 30 years’ experience in business leadership roles and has attended over eight hours annually of professional development activities relating to managing a retirement village.  The village manager is supported by a regional manager, an assistant to the manager and a clinical manager/RN.  The clinical manager is a registered nurse (RN) who has been in her role at this facility for five years and has been employed with Ryman for 11 years.  She has over 30 years of aged care experience.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Kiri Te Kanawa has an established quality and risk management system that is directed by Ryman Christchurch.  Quality and risk performance is reported across the facility meetings and to the organisation's management team.  Discussions with two managers (village manager, clinical manager); seventeen staff (four caregivers (one hospital, one rest home, one dementia, one serviced apartment); three unit coordinators (two RNs and one EN); two staff RNs; one chef, two kitchenhands, three activities staff, one maintenance, one assistant to the manager) and review of management and staff meeting minutes demonstrated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Minutes are maintained.  Annual resident and relative surveys are completed.  Recent relative survey results for 2019 reflected Kiri Te Kanawa as being rated as number one amongst all Ryman facilities.  Where opportunities for improvement are identified, quality improvement plans (QIPs) are completed with evidence that suggestions and concerns are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as evidenced in the full facility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There are clear guidelines and templates for reporting.  Service appropriate management systems, policies, and procedures are developed, implemented and regularly reviewed for the sector standards and contractual requirements.  A robust internal auditing programme is being implemented.  In addition, the facility has implemented processes to collect, analyse and evaluate clinical indicator data, which are utilised for service improvements.  Results are communicated to staff and reflect actions being implemented and signed off when completed.  Interviews with care staff confirmed their awareness of clinical indicator trends and strategies being implemented to improve residents’ outcomes.  Of particular mention are recent corrective actions (quality improvement plans) that have been implemented to address meals, staff satisfaction, and falls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A health and safety representative was interviewed.  Health and safety meetings are conducted two-monthly.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maintained a continuous improvement in relation to the results achieved from maintaining the rate of residents’ bruising below the Ryman average/target.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 sample of 10 incident/accident forms identified that all are fully completed and include follow-up by a registered nurse.  Neurological observations are completed if there is a suspected injury to the head.  The clinical manager is involved in the adverse event process with links to the regular management meetings and informal meetings.  This provides the opportunity to review incidents as they occur.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able to identify situations that would be reported to statutory authorities.  This included completing section 31 reports (pressure injury, police investigations) and notifying public health for two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cover recruitment, selection, orientation and staff training and development.  Seven staff files reviewed (two staff RNs, four caregivers, one kitchen assistant) included a signed contract, job description relevant to the role the staff member is in, induction, application form and reference checks.  All files reviewed included annual performance appraisals with eight-week reviews completed for newly appointed staff.  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practising certificates for RNs and other health professionals is maintained within the facility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The annual training programme exceeds eight hours annually.  There is an attendance register for each training session and an individual staff member record of training.  Registered nurses are supported to maintain their professional competency.  Fourteen of sixteen registered nurses (including the clinical manager) have completed their interRAI training.  There are implemented competencies for registered nurses and caregivers related to specialised procedures and/or treatment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of ten caregivers who work in the dementia unit have completed their dementia qualification.  Three are enrolled and have been employed for less than 18 months.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available 24/7 with a current CPR/first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covers three floors with elevators in strategic locations.  The clinical manager is an experienced registered nurse with a current practising certificate who works full-time Monday – Friday.</w:t>
            </w:r>
          </w:p>
          <w:p w:rsidR="00EB7645" w:rsidRPr="00BE00C7" w:rsidP="00BE00C7">
            <w:pPr>
              <w:pStyle w:val="OutcomeDescription"/>
              <w:spacing w:before="120" w:after="120"/>
              <w:rPr>
                <w:rFonts w:cs="Arial"/>
                <w:b w:val="0"/>
                <w:lang w:eastAsia="en-NZ"/>
              </w:rPr>
            </w:pPr>
            <w:r w:rsidRPr="00BE00C7">
              <w:rPr>
                <w:rFonts w:cs="Arial"/>
                <w:b w:val="0"/>
                <w:lang w:eastAsia="en-NZ"/>
              </w:rPr>
              <w:t>The ground floor (1st level) had 42 hospital and 26 rest home residents.  Staffing includes a unit coordinator/RN (Tuesday – Saturday).  Three staff RNs cover the AM shift (two long and one short shift to 1.30 pm) and two staff RNs cover the PM shift.  The night shift is staffed with one RN.  (Note: an additional RN is rostered over the two days that the unit coordinator is not rostered).  Eleven caregivers are rostered on the AM shift (six long and five short) and nine are rostered on the PM shift (four long and five short).  The night shift is staffed with three (long shift) caregivers.  One fluid assistant covers from 9.30 am-1 pm and a lounge carer assists from 4 pm – 8 pm.</w:t>
            </w:r>
          </w:p>
          <w:p w:rsidR="00EB7645" w:rsidRPr="00BE00C7" w:rsidP="00BE00C7">
            <w:pPr>
              <w:pStyle w:val="OutcomeDescription"/>
              <w:spacing w:before="120" w:after="120"/>
              <w:rPr>
                <w:rFonts w:cs="Arial"/>
                <w:b w:val="0"/>
                <w:lang w:eastAsia="en-NZ"/>
              </w:rPr>
            </w:pPr>
            <w:r w:rsidRPr="00BE00C7">
              <w:rPr>
                <w:rFonts w:cs="Arial"/>
                <w:b w:val="0"/>
                <w:lang w:eastAsia="en-NZ"/>
              </w:rPr>
              <w:t>Thirteen dementia level residents were in the secure dementia unit on the 2nd level.  A unit coordinator/RN covers the dementia unit (and the rest home residents on the 2nd level) from Sunday – Thursday.  An RN covers on the two days that the unit coordinator is not available.  The dementia unit is staffed with two caregivers on the AM and PM shifts (one long and one short) and one caregiver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Eleven rest home level residents were on the 2nd level.  One caregiver covers each shift.</w:t>
            </w:r>
          </w:p>
          <w:p w:rsidR="00EB7645" w:rsidRPr="00BE00C7" w:rsidP="00BE00C7">
            <w:pPr>
              <w:pStyle w:val="OutcomeDescription"/>
              <w:spacing w:before="120" w:after="120"/>
              <w:rPr>
                <w:rFonts w:cs="Arial"/>
                <w:b w:val="0"/>
                <w:lang w:eastAsia="en-NZ"/>
              </w:rPr>
            </w:pPr>
            <w:r w:rsidRPr="00BE00C7">
              <w:rPr>
                <w:rFonts w:cs="Arial"/>
                <w:b w:val="0"/>
                <w:lang w:eastAsia="en-NZ"/>
              </w:rPr>
              <w:t>There are thirty serviced apartments certified to provide rest home level of care that cover two floors (2nd and 3rd levels).  There were five rest home level residents in the serviced apartments at the time of the audit.  The serviced apartment coordinator is an enrolled nurse (EN) with a current practising certificate and works Sunday – Thursday.  An RN covers in her absence (Fridays and Saturdays).  The AM and PM shifts are staffed with two caregivers.  For the PM shift, one caregiver works until 7 pm and a second caregiver works until 9 pm.  The PM shift after 9 pm and the night shift is covered by a caregiver in the rest home.  Staff communicate via mobile telecommunications.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 can be called on for increased resident requirements.  A cover pool has been implemented whereby (extra) care staff are scheduled to work Friday – Monday to cover absences.  These assigned staff (two caregivers from 7 am – 1 pm and one RN from 7 am – 3.30 pm) work regardless if staff are absent.  Additional casual staff are available if needed.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scheduled seven days a week in the hospital and dementia units and five days a week in the rest home and serviced apartments.  Separate cleaning and laundry staff are rostered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Staff were visible and were attending to call bells in a timely manner as observed by the auditors and confirmed by all residents interviewed.  Staff interviewed stated that overall the staffing levels are satisfactory and that the management team provide good support.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were two residents (one on respite care and one resident in the serviced apartments) self-administering on the day of audit.  Both residents had current self-medication competencies in place.  There are three medication rooms and one medication cupboard on site, one for each level of care and all have secured keypad access.  Medication fridges had weekly temperature checks recorded and were within normal ranges.  All medications were securely and appropriately stored.  Registered nurses, enrolled nurses and senior caregivers, who have passed their medication competency, administer medications.  Medication competencies are updated annually and include syringe drivers, sub cut fluids, blood sugars and oxygen/nebulisers.  There is a signed agreement with the pharmacy.  Medications are checked on arrival and any pharmacy errors recorded and fed back to the supplying pharmacy.  The service does not use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utilises an electronic medication management system.  Twelve medication profiles were sampled (four hospital, four rest home (including two from the serviced apartments) and four dementia level of care).  All twelve medication charts had photo identification and allergy status documented.  All charts evidenced three monthly reviews by the NP/GP.  Prescribed medication is signed electronically after being administered as witnessed on the day of the audit.  Effectiveness of PRN medication administered were documented in the electronic prescription.  Controlled drugs and registers aligned with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well-equipped commercial kitchen on site where all food and baking is prepared and cooked.  The qualified head chef is supported by a second chef and four kitchenhands.  Staff have been trained in food safety and chemical safety.  The seasonal menu has been designed in consultation with the dietitian at an organisational level.  “Project delicious” has been in place since opening.  Menu choices are decided by residents (or family/EPOA/primary care staff if the resident is not able) and offer a choice of three main dishes for the midday and two choices for evening meal including a vegetarian option.  Diabetic desserts and gluten free diets are accommodated.  All meals are transported in hot boxes to each units’ satellite kitchen, where the meals are served from bain maries.  The chef receives a dietary profile for all new resident admissions and is notified of any dietary changes.  Resident likes and dislikes are accommodated and listed on the daily spreadsheet and kitchen noticeboard.  Alternative foods are available on the menu or offered.  Cultural, religious and food allergies are accommodated.  Nutritious snacks are available 24 hours a day.  There is a supply of snacks and fruit in the dementia unit kitchenette.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temperatures are monitored and recorded twice daily.  The chilled goods temperature is checked on delivery.  All foods were date labelled.  A cleaning schedule is maintained by the chef and kitchenhands.  Staff were observed to be wearing appropriate personal protective clothing.  The food control plan expires on 11 January 2020.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food communication books in each servery, resident survey and direct contact with the food services staff.  Residents and relatives interviewed spoke positively about the choices and meals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maintained the continuous improvement in relation to improving meal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nursing review and if required NP, nurse specialist consultation.  There is documented evidence on the family/whānau contact form in each resident file that evidenced family were notified of any changes to their relative’s health including (but not limited to) accident/incidents, behaviours, infections, health professional visits, referrals and changes in medications.  Residents interviewed reported their needs were being met.  Discussions with families confirmed they were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There were 19 wounds on the day of the audit; 12 in the hospital (two pressure injuries, seven skin tears and three chronic leg ulcers), two wounds documented in the dementia unit (one skin tear and one chronic leg ulcer), four in the rest home (one pressure injury and three chronic ulcers) and one resident with chronic leg ulcers in the serviced apartments.  Wound assessment and treatment forms, ongoing evaluation form and evaluation notes were in place for all 19 wounds.  There was evidence of the wound care nurse specialist, GP, dietitian and facility wound champion involvement in the management of the complex wounds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suite of monitoring forms available on the myRyman system which include weight, vital signs, behaviour monitoring and assessment, pain, neurological observations and blood glucose monitoring.  The progress notes documented changes in health status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of activity and lifestyle staff (two diversional therapists and four activity and lifestyle coordinators) coordinate and implement the Engage activities programme across the hospital, rest home, dementia unit and serviced apartments seven days a week.  The dementia care unit diversional therapist (DT) has completed the dementia unit standards.  The hospital and serviced apartments activity and lifestyle coordinators are progressing through their diversional therapy qualifications.  The two DT and one activity and lifestyle coordinator that do the van trips hold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including Triple AAA exercises, themes events and celebrations, indoor bowls, sensory activities, baking in the kitchenettes, outings and drives.  The service has a mobility van for resident outings.  Rest home residents in the serviced apartments can attend the serviced apartment programme or rest home programme.  One-on-one time is spent with residents who are unable to participate or choose not to be involved in the activity programme.  Special events and theme days are celebrated.  Village friends visit and participate in some activities.  Residents use the on-site movie theatre for regular movie nights and are currently following the Rugby World Cup games.  Community involvement includes entertainers, speakers, and church services.  The activities staff have been successful in engaging residents in the Engage programme especially around the pampering sessions and men’s club as evidenced in the residents’ survey results.  The dementia care unit residents have access to a secured outdoor garden setting, with shaded seating and raised gardens.  This space is used for walks, gardening activities and resident/family barbeques.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an activity assessment that is completed on admission.  The activity plan in all resident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the five long-term residents were evaluated by the RN within three weeks of admission.  One of the five long-term resident files demonstrated that the interRAI assessments and care plans reviewed were evaluated at least six monthly or when changes to care occurred.  The other four residents (two hospital and two dementia level of care) were not in the service for six months.  Extended sampling on three long-term rest home resident files verified that long-term care plans were evaluated six-monthly by the registered nurses.  The respite resident had a short-term care plan in place.  Written evaluations identified if the resident/relative desired goals had been met or unmet.  All changes in health status were documented and followed up.  The multidisciplinary review involves the unit coordinator, RN, activities staff and resident/family member.  The six resident files reviewed reflected evidence of family being involved in the planning of care and reviews and if unable to attend, they receive a copy of the reviewed plans.  In all six files reviewed the care plans had been read and signed by the resident/EPOA/family.  There is at least a three-monthly review by the medical practitioner with majority of the hospital level residents being seen monthly.  The family members interviewed confirmed they are invited to attend the multidisciplinary care plan reviews and NP/GP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warrant of fitness that expires I July 2020.  The facility employs a full-time maintenance person who is supported by part time maintenance staff and gardening staff.  The maintenance person ensures daily maintenance requests are addressed.  He maintains a monthly planned maintenance schedule.  Essential contractors are available 24 hours a day, seven days a week.  Electrical testing and annual calibration have been completed.  Hot water temperatures in resident areas are monitored three-monthly.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Residents were observed to safely access the outdoor gardens and courtyards.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on the second floor has a secure and safe outdoor balcony deck with raised gardens,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residents’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Definitions of infections are appropriate to the complexity of service provided.  The surveillance policy describes the purpose and methodology for the surveillance of infections.  Individual infection report forms are completed for all infections and are kept as part of the resident files.  Infections are included on an electronic register and the infection prevention and control officer (registered nurse) completes a monthly report.  Monthly data is reported to the combined infection prevention and control/health and safety meetings.  Staff are informed through the variety of clinical meetings held at the facility.  Meeting minutes included identifying trends, corrective actions and evaluations and are available on the staff noticeboard.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had two outbreaks in 2019 (norovirus in April and influenza in May).  Relevant authorities including public health were notified, and documentation was completed on a daily basis.  Staff were kept informed at handovers and by daily memos and emails.  All staff received educational training and debrief.  Infection control policy and practice meets best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two hospital residents with restraint (chair briefs) and five hospital residents who had requested enablers (lap safety belt, bedrails).  One file of a resident using an enabler was reviewed that reflected an enabler assessment, six monthly voluntary consent by the resident and six-monthly reviews of the use of the enabler.  The enabler usage was linked to the resident’s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provided six-monthly around restraint minimisation and managing of challenging behaviours.  Staff interviews confirmed their clear understanding of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3210"/>
        <w:gridCol w:w="80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plan (QIP) is implemented where opportunities for improvements are identified.  QIPs are regularly reviewed and evaluated.  The rate of bruising is consistently below the Ryman target and results in a rating of continuous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Data collated is used to identify any areas that require improvement.  Clinical indicator data has individual reference ranges for acceptable limits and levels of incidents and infections.  Corrective action plans reviewed reflected significant improvements (eg, satisfaction with food, reducing falls in the dementia unit, addressing staff satisfaction).  Of particular note is the rate of residents’ bruising per 1000 bed nights, which has been significantly below the Ryman average for 2019.  Strategies implemented have included mandatory manual handling courses for staff every six months and competency assessments led by the physiotherapist and unit coordinator to ensure that staff are implementing what they have learned in the training.  This previous area identified as a continuous improvement remains.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Ryman initiative called “Project Delicious” to better meet the resident’s dietary preferences and dislikes by providing three options of meals at the midday and evening meal.  Feedback from resident and relative interviews confirmed a continued increase in meal satisfaction and choice.  Survey results showed an increase in resident satisfaction in meals.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September 2016 continuous improvement quality action plan (“Project Delicious”) has continued to be implemented.  Strategies including (but not limited to) the Ryman menu: the main meal offering three main meal choices including two meat options and a vegetarian option and the evening meal also provides options for meat or vegetarian foods remain.  Staff assist residents to complete their menu plan in advance.  The menu options continue to accommodate resident dietary requirements/preferences and dislikes and residents can request food outside the menu plan.  The main meals in the rest home and the hospital units continue to be served by the head and assistant chef.  All new staff have received training on meal presentation, serving and table setting.  Fine dining events are enjoyed by residents and families alike.  Resident survey results for meal satisfaction reflected a further increase from 3.56 (February 2018) to 3.87 (February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Kiri Te Kanawa Retirement Village Limited - Kiri Te Kanawa Retirement Village</w:t>
    </w:r>
    <w:bookmarkEnd w:id="58"/>
    <w:r>
      <w:rPr>
        <w:rFonts w:cs="Arial"/>
        <w:sz w:val="16"/>
        <w:szCs w:val="20"/>
      </w:rPr>
      <w:tab/>
      <w:t xml:space="preserve">Date of Audit: </w:t>
    </w:r>
    <w:bookmarkStart w:id="59" w:name="AuditStartDate1"/>
    <w:r>
      <w:rPr>
        <w:rFonts w:cs="Arial"/>
        <w:sz w:val="16"/>
        <w:szCs w:val="20"/>
      </w:rPr>
      <w:t>26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