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Knox Home Trust Board - Elizabeth Knox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Knox Home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Elizabeth Knox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October 2019</w:t>
      </w:r>
      <w:bookmarkEnd w:id="7"/>
      <w:r w:rsidRPr="009418D4">
        <w:rPr>
          <w:rFonts w:cs="Arial"/>
        </w:rPr>
        <w:tab/>
        <w:t xml:space="preserve">End date: </w:t>
      </w:r>
      <w:bookmarkStart w:id="8" w:name="AuditEndDate"/>
      <w:r w:rsidR="00A4268A">
        <w:rPr>
          <w:rFonts w:cs="Arial"/>
        </w:rPr>
        <w:t>3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Elizabeth Knox Home and Hospital provides rest home and hospital level care and care for younger people with a disability for up to 199 residents. The service is operated by the Knox Home Trust and managed by a chief executive officer (CEO) with a care leader responsible for clinical care.  There have been no significant changes to the service and facilities since the previous partial provisional audit for the new Puriri Home in May 2019, with the first residents moving into this area in July 2019.  The organisation continues to be a national leader in the Eden Alternative </w:t>
      </w:r>
    </w:p>
    <w:p w:rsidRPr="00A4268A">
      <w:pPr>
        <w:spacing w:before="240" w:line="276" w:lineRule="auto"/>
        <w:rPr>
          <w:rFonts w:eastAsia="Calibri"/>
        </w:rPr>
      </w:pPr>
      <w:r w:rsidRPr="00A4268A">
        <w:rPr>
          <w:rFonts w:eastAsia="Calibri"/>
        </w:rPr>
        <w:t>with a commitment to resident-directed care and a non-hierarchical management structure.  Residents and families spoke positively about the care provided.</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 xml:space="preserve">This audit has resulted in areas requiring improvement relating to timeliness of care and documentation, evaluation and trending of quality improvement data and that there are records indicating that all staff have completed the required training. The areas identified as requiring improvement from both the certification and partial provisional audits have been addressed.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external interpreting services if required, although the very multicultural team of staff and volunteers can assist in most cases.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system includes collection of a range of quality improvement data which is reported to staff at meetings. Staff are involved and feedback is sought from residents and families through weekly meetings with the CEO.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Multidisciplinary team members, including a registered nurse and general practitioner, assess residents’ needs on admission.  Care plans are individualised, reflect the Eden philosophy the organisation follows, are based on a comprehensive range of information and accommodate new problems that might arise.  Files reviewed demonstrated that there are established timeframes for review and evaluation of the care provided and of residents’ needs. </w:t>
      </w:r>
    </w:p>
    <w:p w:rsidRPr="00A4268A" w:rsidP="00621629">
      <w:pPr>
        <w:spacing w:before="240" w:line="276" w:lineRule="auto"/>
        <w:rPr>
          <w:rFonts w:eastAsia="Calibri"/>
        </w:rPr>
      </w:pPr>
      <w:r w:rsidRPr="00A4268A">
        <w:rPr>
          <w:rFonts w:eastAsia="Calibri"/>
        </w:rPr>
        <w:t xml:space="preserve">A diverse range of activities are available within a planned programme. Residents are also assisted to pursue other options according to personal choices. Opportunities include individual and group activities. Leisure and lifestyle staff assist residents to maintain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Food services provided cover multiple options, meet the nutritional needs of the residents including those with special needs. Personal preferences are also catered for. The food and the kitchen environment are managed according to a food control plan.  Residents verified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was a current building warrant of fitness.  The certificate of public use for the new Puriri building was sighted as was documentation of testing of hot water temperatures.  External areas and handrails are safe and meet the needs of the residents in that area.  The fire evacuation plan is current and fire evacuation drills have been completed. The call bell system is effective, and response is timely.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Thirty-three enablers were in use at the time of audit. Use of enablers is voluntary for the safety of residents in response to individual requests.   Seventeen restraints were in use.  A comprehensive assessment, approval and monitoring process with regular reviews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 trained infection control coordinator, includes the surveillance of infections.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issues, concerns and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and related documentation reviewed showed that 65 complaints have been received between May 2018 and July 2019. Further analysis and trending of this complaints data is needed and was planned (refer criterion 1.2.3.6).  Three complaints reviewed in detail showed that actions taken, through to an agreed resolution, were documented and completed within the required timeframes of the Code.  Action plans showed any required follow up and improvements have been made where possible.  The quality &amp; wellbeing leader oversees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Four examples of open disclosure/communication following incidents/events were reviewed and discussed with the quality &amp; wellbeing leader and showed an effective process.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the large number of staff and volunteers available who can speak different languages.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plan (2016 – 2021), which is reviewed yearly, outlines the vision, mission, values and goals of the organisation. A sample of reports to the board, which meets six-weekly, was reviewed showed adequate information to monitor performance is reported including the minutes of the care quality meetings, health and safety matters, a report from the CEO and reports from each of the board sub-committees (finance, investment, planning and quality &amp; risk), resident and family meeting minutes, occupancy, staffing and risks, for example.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CEO who holds relevant qualifications and has been in the role for many years. Responsibilities and accountabilities are defined in a job description and individual employment agreement.  The CEO confirmed knowledge of the sector, regulatory and reporting requirements and maintains currency through attendance at local DHB and other aged care forums. Ongoing national and international links in relation to the Eden Alternative continue.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Auckland DHB for aged related residential care (ARRC) for hospital and rest home residents and with the Ministry of Health for younger people with a disability (YPD). At the time of audit there were 192 residents with 124 hospital residents, 21 under 65 hospital residents, 34 rest home residents and 2 rest home under 65 residents. There were 7 residents under chronic health contracts, 1 private paying resident, 1 ACC resident, 1 resident under a carer support contract and 1 resident under a short term under 65 hospital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range of topic specific regular satisfaction surveys, and monitoring of clinical outcomes through ‘QPS’ benchmarking. The quality programme is overseen by the quality &amp; wellbeing leader who has oversight of quality, health &amp; safety and training. There is also a manager of projects who supports a range of quality and development work and projects. The operation and quality plan for 2019 guides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of quality indicators and that data and other information is reported and discussed at the clinical quality meetings and leadership team meetings. However, with some exceptions, it was not evident that data was being adequately analysed to monitor trends over time.  Staff reported their involvement in quality activities through audit, ‘quality circle’ meetings where improvements are discussed, their involvement with the Eden Alternative work and review of the clinical quality meeting minutes.  Relevant corrective actions are developed and implemented to address any shortfalls. Resident and family satisfaction surveys are completed regularly with a more recent focus around specific relevant topics, for example the ‘First Impressions’ survey sent to all new residents over the past year to assess the fulfilment of the ‘Welcome Promise’.  Improvements and resurveying is in progress. All residents and family members interviewed during the survey were very happy with the care and services at Elizabeth Knox Home and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was well versed in risk management including the identification, monitoring, review and reporting of risks and development of mitigation strategies. The risk register was reviewed and was current, last being updated on the 24 September 2019.  The quality &amp; wellbeing manager was familiar with the Health and Safety at Work Act (2015) and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care &amp; quality forum and the board. Two events that were reported through the DHB risk reporting system and notified to Elizabeth Knox Home and Hospital were reviewed in detail and showed a thorough investigation and follow through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The quality &amp; wellbeing leader described essential notification reporting requirements, including for pressure injuries.  They advised there have been notifications made to the MoH in relation to two pressure injuries, an RN nursing shortage and seeking support in relation to a resident. There have been three notifications to public health for infection outbreaks, and two notification to the police and MoH (pertaining to one resident/relative issue). There have been no coroner’s inquests or issues-based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The quality and wellbeing leader and the care leader confirmed processes. The volunteer coordinator confirmed that employment of the around 900 volunteers a year is also systematic and thorough process including interview, referee checking and orientation.  Random police vetting of 10 percent of volunteers occurs every two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volunteer orientation includes all necessary components relevant to the role. Staff reported that the orientation process prepared them well for their role.  Staff records reviewed showed documentation of completed orientation and a yearly performance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The programme for 2019 was sighted.  Thirty-six staff are engaged in the Careerforce programme at the time of audit, ranging from levels 2 to levels 4. Other staff are engaged in the regular training sessions which included restraint minimisation and use, fire and safety, continence assessment and care planning, health and safety, last days of life pathways, EPOA and informed consent, abuse &amp; neglect, cultural safety and moving and handling, for example. An end of year education report showed that a wide range of options are available for staff in all roles. Training records are held in three different places/electronic systems and it was difficult to determine if all staff have completed all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who are maintaining their annual competency requirements to undertake interRAI assessments, although the service was aiming to increase the numbers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Staffing is based around each of the nine ‘homes’ with the aim of providing a consistent team for each home. Each home has an RN in the morning for the 20-25 residents in the home. There are eight RNs on the afternoon shift and four RNs overnight.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and that a team approach is used.   Residents and family interviewed supported this. Observations and review of a four-week roster cycle confirmed adequate staff cover has been provided, with staff replaced in any unplanned absence.  All but five RNs have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in different areas on each of the two days of audit demonstrated good knowledge and had a clear understanding of their roles and of the responsibilities related to each stage of medicine management.  All staff who administer medicines, which includes all registered nurses and some senior care partners, have a current competency to perform the functions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are checked against the prescriptions by two persons with at least one being a registered nurse. All medications sighted in the sample checked were within current use by dates. Clinical pharmacist input is provided most months when controlled medicines are delivered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Prescribing practices of medicines are consistent with the expectations of best practice and the electronic system in use. The required three-monthly GP review was consistently recorded on the electronic medicine record. Since commencement of the use of an electronic medicine management system, standing orders are no longer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is self-administering some of their medicines. The GP is required to sign off the person’s competency at least every three months. Appropriate oversight by the nursing staff ensures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via the incident and accident reporting system through to the quality and risk management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provided on site by an external contractor and food provided is in line with recognised nutritional guidelines, as approved by a dietitian for its appropriateness for the range of service users at Elizabeth Knox Home and Hospital. The menu goes over a six-week rotational cycle that follows summer and winter patterns and was appraised by a qualified dietitian, May 2019. Each day, residents are provided with three options including a vegetarian option plus a dessert and mid-day and two options for the evening meal with fresh fruit.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a relevant authority May 2019.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(dietary requirements and special requests) is undertaken for each resident on admission to the facility and a dietary profile developed. The personal food preferences, any special diets and modified texture requirements are made known to kitchen staff and accommodated in the daily meal plan. Kitchen staff liaise with individual residents to ensure special needs are accommodated and after the mid-day meal the cook goes out to the residents to discuss the food provided.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Elizabeth Knox Home and Hospital continues to operate according to the Eden Alternative. The residents are at the centre of all actions as is community integration. Documentation, observations and interviews verified that care provided to residents was consistent with their personal preferences, individualised needs, goals and the care plan.  The attention to meeting a diverse range of resident’s individualised needs was evident in all areas of service provision and in lifestyle and leisure programmes. A focus on rehabilitation enables residents to strive to improve their functioning where this is practicable and to maintain their abilities when this is realistic. The GP interviewed, verified that medical input is sought in a timely manner, that medical orders are followed, care is consistently of a very high level and there are not really any concerns. The staff turnover and the impact of this was noted by the GP. Care partners confirmed that care is provided as outlined in the documentation and according to the instructions of registered nurses, doctors and allied health professionals. A range of equipment and resources was available, including a gymnasium area, outdoor garden environments, and access to activities and transport. Equipment and resources required for service delivery interventions for the varied levels of support provided is available and residents’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planned and coordinated by a lifestyle and leisure community engagement leader who is supported by two full time and three part time activities assistants alongside several hundred rostered volunteers. Weekly diaries that describe some of the more structured options are distributed. Examples sighted reflected some of the residents’ goals, ordinary patterns of life and included normal community activities. Individual, group activities and regular events were integrated with options including games requiring both physical and cognitive skills, shopping for necessities and for pleasure, external and in-house entertainment, activities that address a range of spiritual and cultural needs and those requiring creative approaches or ways to relax. Multiple spontaneous opportunities are also responded to and examples of these included responding to baby animal feeding needs (chickens and lambs), visits from school students and a visit to an internet café. Staff were observed making every effort to respond to residents’ expressions on a day to day basis. Celebration of special events included for international day of the elderly, Fathers’ day and preparations for a ball the day after the audit were under 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Attendance records are kept and assist with ongoing activities planning, as does casual feedback and residents’ meetings. Progress notes specifically for lifestyle and leisure are written for each person most months. Although each resident’s activity needs are to be evaluated as part of the formal six-monthly care plan review and multi-disciplinary reports to ensure the activities available are meaningful to the residents there have been delays in this occurring as noted in standard 1.3.3.3.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consistently reported in the progress notes.  If any change is noted, it is reported to the registered nurse and there were multiple examples of this evident.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are scheduled to occur every six months in conjunction with the six-monthly interRAI reassessment, or as residents’ needs change. Where progress is different from expected, the service would normally respond by initiating changes to the plan of care. As identified in the corrective action for 1.3.3.3 this is not always happening within the expected timeframe, therefore has been raised for corrective actions under that criterion. Also, a corrective action raised in a previous partial provisional audit in relation to the need for multi-disciplinary reviews to be undertaken within required timeframes have been addressed within that corrective action as the problem persists.  With reviews and evaluations not occurring within a timely manner, the consequence is that long term care plans are not always being added to and updated to reflect changes and this has also been included in 1.3.3.3. Examples of short-term care plans being reviewed, and of progress evaluated as clinically indicated, were noted for infections and wounds. Residents and families/whānau interviewed provided examples of their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28 September 2020) was sighted.  The Certificate of Public Use for Puriri (the new building) was sighted with an expiry date of 17 January 2020. Records of regular testing of the water temperatures in residents’ areas were sighted and meet safety requirements. External deck and pathway areas have been completed and handrails installed in the Puriri area. All previous areas identified at the partial provisional audit were confirmed as being addressed and safe.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in July 2014. The approval letter for the Puriri evacuation plan was sighted (dated 23 July 2019) and the fire evacuation completed 22 July 2019,as attended by the fire service, showed this was well completed within three minutes and 47 seconds. The orientation programme includes fire and security training.   The previous areas for improvement for Puriri have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 call system in Puriri is fully installed with response times monitored showing prompt response.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as described in the infection prevention and control policies and procedures and during interview with the infection prevention and control coordinator, is appropriate to that recommended for long term care facilities. The service provider is now using the McGreer definitions to guide the surveillance processes.  Infections are documented as they arise and the infection prevention and control coordinator reviews all reported infections against other information sources such as laboratory results. New infections and any required management plan, as directed from a registered nurse of a GP,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senior staff reported that analysis of any trends, possible causative factors and required actions is undertaken. However, records of these processes were only available until February 2019. Although individual infections are being well managed, ongoing data is documented and QPS benchmarking has been occurring, there is limited evidence other than verbal reports, of analysis of the data and of subsequent identified actions at the organisational level. This has been raised for corrective action under criterion 1.2.3.6 alongside other aspects of quality management requiring analysis and relevant follow-up 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report following a debrief on a recent gastroenteritis outbreak affecting two of the houses was reviewed and demonstrated a thorough process for investigation and follow up.  The event identified two key required actions including the need to ensure new staff are more effectively updated on outbreak management protocols and that improved communication processes are instituted for advising of such situations. These are progressively being incorporated into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interviewed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17 residents were using restraints and 33 residents were using enablers, which were the least restrictive and used voluntarily at their request. A similar process is followed for the use of enablers as is used for restraints.  Staff interviewed were clear about the difference between a restraint and an enabler.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and from interviews with staff.  Further analysis of restraint data is required (Refer criterion 1.2.3.6).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7302"/>
        <w:gridCol w:w="2164"/>
        <w:gridCol w:w="16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Various quality improvement data is being collected including complaints, incidents, infections, restraint use, and health and safety. While there has been periods of graphing trends and analysis since the previous survey, at the time of audit there was a lack of analysis of data. This included identification of themes, trends and evaluation in relation to complaints, incidents, restraint and infection surveillance. Raw data (numbers) only is being reported to the care quality and other forums.  A report related to health and safety was reviewed which showed trending of data over a three-year period – to the end of 2018. QPS benchmarking data for the quarter April – June 2019 was available; however, formal analysis and development of improvements plans was not evident.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lack of analysis of quality improvement data. This included identification of themes, trends and evaluation in relation to complaints, incidents, restraint and infection surveillance. Raw data (numbers) only is being reported to the care quality and other forums.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collected is analysed, evaluated and where appropriate trended over time and these results communicated to staff and where appropriate residents and families.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feel well supported by training opportunities available. Mandatory/required training is defined, and a training calendar developed which includes a broad range of mandatory and non-mandatory topics.  However, there is no systematic approach to record and identify that all staff have completed training as required.  Records are held for individual staff members, within the TimeTarget, ACCESS data base and on a spreadsheet. None of these records contained a full record to assure the organisation that requirements are being met. Personnel files did not include full records of training completed by each staff member. The performance review process does not record that training requirements are checked as part of that process and the individual TimeTarget records did not indicate that all requirements have been met.  Staff interviewed could identify a range of training they had completed in the past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one recording system to establish that all staff have completed the required training.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Develop a system that will record all training completed by staff that will assure the organisation that mandatory requirement have been met.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provision is of a high standard and residents are being provided with good quality lifestyle opportunities. However, not all aspects of service provision including assessment processes, care planning, evaluation and reviews are being provided within expected time 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to be developed and entered into V-Care within three weeks of admission; however, this has not always been occurring over recent months and some key interventions including use of a CPAP machine were not documented. Likewise changes in mobility and nutritional requirements for example were not all captured as updates to care plans. Reassessment outcomes are intended to inform the evaluation processes; however, there were examples in the files sampled of this not occurring, or a specific assessment such as interRAI being completed after the evaluation. Six monthly care plan evaluations and annual multi-disciplinary reviews are currently being extended out due to the shortage of nurses, therefore many were overdue. Other than monthly entries into progress notes, formal reviews of lifestyle and leisure plans have not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Over half of the files reviewed had one or more stages of service provision documentation (planning, evaluation and review) overdue for review and/or update.</w:t>
            </w:r>
          </w:p>
          <w:p w:rsidR="00EB7645" w:rsidRPr="00BE00C7" w:rsidP="00BE00C7">
            <w:pPr>
              <w:pStyle w:val="OutcomeDescription"/>
              <w:spacing w:before="120" w:after="120"/>
              <w:rPr>
                <w:rFonts w:cs="Arial"/>
                <w:b w:val="0"/>
                <w:lang w:eastAsia="en-NZ"/>
              </w:rPr>
            </w:pPr>
            <w:r w:rsidRPr="00BE00C7">
              <w:rPr>
                <w:rFonts w:cs="Arial"/>
                <w:b w:val="0"/>
                <w:lang w:eastAsia="en-NZ"/>
              </w:rPr>
              <w:t>•</w:t>
              <w:tab/>
              <w:t>New resident interRAI assessments and long-term care plans are not all being completed within the timeframes as required by the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w:t>
              <w:tab/>
              <w:t>There were examples of interRAI reassessments and care plan updates that have not been undertaken within the required six-month timeframe</w:t>
            </w:r>
          </w:p>
          <w:p w:rsidR="00EB7645" w:rsidRPr="00BE00C7" w:rsidP="00BE00C7">
            <w:pPr>
              <w:pStyle w:val="OutcomeDescription"/>
              <w:spacing w:before="120" w:after="120"/>
              <w:rPr>
                <w:rFonts w:cs="Arial"/>
                <w:b w:val="0"/>
                <w:lang w:eastAsia="en-NZ"/>
              </w:rPr>
            </w:pPr>
            <w:r w:rsidRPr="00BE00C7">
              <w:rPr>
                <w:rFonts w:cs="Arial"/>
                <w:b w:val="0"/>
                <w:lang w:eastAsia="en-NZ"/>
              </w:rPr>
              <w:t>•</w:t>
              <w:tab/>
              <w:t>Not all care plans accurately reflect the current status of the respective resident</w:t>
            </w:r>
          </w:p>
          <w:p w:rsidR="00EB7645" w:rsidRPr="00BE00C7" w:rsidP="00BE00C7">
            <w:pPr>
              <w:pStyle w:val="OutcomeDescription"/>
              <w:spacing w:before="120" w:after="120"/>
              <w:rPr>
                <w:rFonts w:cs="Arial"/>
                <w:b w:val="0"/>
                <w:lang w:eastAsia="en-NZ"/>
              </w:rPr>
            </w:pPr>
            <w:r w:rsidRPr="00BE00C7">
              <w:rPr>
                <w:rFonts w:cs="Arial"/>
                <w:b w:val="0"/>
                <w:lang w:eastAsia="en-NZ"/>
              </w:rPr>
              <w:t>•</w:t>
              <w:tab/>
              <w:t>There were examples of long-term care plans being developed or reviewed prior to the interRAI assessment or reassessment</w:t>
            </w:r>
          </w:p>
          <w:p w:rsidR="00EB7645" w:rsidRPr="00BE00C7" w:rsidP="00BE00C7">
            <w:pPr>
              <w:pStyle w:val="OutcomeDescription"/>
              <w:spacing w:before="120" w:after="120"/>
              <w:rPr>
                <w:rFonts w:cs="Arial"/>
                <w:b w:val="0"/>
                <w:lang w:eastAsia="en-NZ"/>
              </w:rPr>
            </w:pPr>
            <w:r w:rsidRPr="00BE00C7">
              <w:rPr>
                <w:rFonts w:cs="Arial"/>
                <w:b w:val="0"/>
                <w:lang w:eastAsia="en-NZ"/>
              </w:rPr>
              <w:t>•</w:t>
              <w:tab/>
              <w:t>A number of six-monthly care plan reviews and evaluations are overdue. Multi-disciplinary team reviews are not all being completed annually as per Elizabeth Knox policy and contractual expectations and leisure and lifestyle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Each stage of care planning, provision, assessment and review are completed within timeframes that meet policy and contractual requirements to ensure the needs of the residents are met in a safe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Knox Home Trust Board - Elizabeth Knox Home and Hospital</w:t>
    </w:r>
    <w:bookmarkEnd w:id="58"/>
    <w:r>
      <w:rPr>
        <w:rFonts w:cs="Arial"/>
        <w:sz w:val="16"/>
        <w:szCs w:val="20"/>
      </w:rPr>
      <w:tab/>
      <w:t xml:space="preserve">Date of Audit: </w:t>
    </w:r>
    <w:bookmarkStart w:id="59" w:name="AuditStartDate1"/>
    <w:r>
      <w:rPr>
        <w:rFonts w:cs="Arial"/>
        <w:sz w:val="16"/>
        <w:szCs w:val="20"/>
      </w:rPr>
      <w:t>2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