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Golden Pond Private Hospital Limited - Golden Pond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Golden Pond Private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Golden Pond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October 2019</w:t>
      </w:r>
      <w:bookmarkEnd w:id="7"/>
      <w:r w:rsidRPr="009418D4">
        <w:rPr>
          <w:rFonts w:cs="Arial"/>
        </w:rPr>
        <w:tab/>
        <w:t xml:space="preserve">End date: </w:t>
      </w:r>
      <w:bookmarkStart w:id="8" w:name="AuditEndDate"/>
      <w:r w:rsidR="00A4268A">
        <w:rPr>
          <w:rFonts w:cs="Arial"/>
        </w:rPr>
        <w:t>30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Golden Pond Private Hospital provides rest home and hospital level care for up to 61 residents. The service is operated by the owner/director and managed by a nurse manager and a clinical manager. Residents, staff and family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Bay of Plenty District Health Board (BOPDHB). The audit process included review of policies and procedures, review of residents’ and staff records, observations and interviews with residents, family members, managers, staff and a general practitioner.</w:t>
      </w:r>
    </w:p>
    <w:p w:rsidRPr="00A4268A">
      <w:pPr>
        <w:spacing w:before="240" w:line="276" w:lineRule="auto"/>
        <w:rPr>
          <w:rFonts w:eastAsia="Calibri"/>
        </w:rPr>
      </w:pPr>
      <w:r w:rsidRPr="00A4268A">
        <w:rPr>
          <w:rFonts w:eastAsia="Calibri"/>
        </w:rPr>
        <w:t>This audit has resulted in the four areas requiring improvement from the previous audit relating to record management, medication management, the food service and an equipment issue being effectively addressed. One new area requiring improvement in relation to interRAI assessments was identified.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Management and staff communicate in an open manner and residents and family members are kept up to date. Residents have access to interpreter services if required. Open disclosure was evident in event records reviewed.</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philosophy statement of the organisation. Monitoring of the services provided to the governing body is regular and effective. The quality and risk management system includes collection and analysis of quality improvement data, identifies any trends and leads to quality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in a competent and timely manner. The registered nurses (RNs) are responsible for completing nursing assessments, care plans and evaluations. Interventions are adequate to meet the residents’ assessed needs.</w:t>
      </w:r>
    </w:p>
    <w:p w:rsidRPr="00A4268A" w:rsidP="00621629">
      <w:pPr>
        <w:spacing w:before="240" w:line="276" w:lineRule="auto"/>
        <w:rPr>
          <w:rFonts w:eastAsia="Calibri"/>
        </w:rPr>
      </w:pPr>
      <w:r w:rsidRPr="00A4268A">
        <w:rPr>
          <w:rFonts w:eastAsia="Calibri"/>
        </w:rPr>
        <w:t>The planned activities provided are appropriate to meet the needs, age, culture, and setting of the service. The activities reflected ordinary patterns of life and included involvement of other representatives and other community groups.</w:t>
      </w:r>
    </w:p>
    <w:p w:rsidRPr="00A4268A" w:rsidP="00621629">
      <w:pPr>
        <w:spacing w:before="240" w:line="276" w:lineRule="auto"/>
        <w:rPr>
          <w:rFonts w:eastAsia="Calibri"/>
        </w:rPr>
      </w:pPr>
      <w:r w:rsidRPr="00A4268A">
        <w:rPr>
          <w:rFonts w:eastAsia="Calibri"/>
        </w:rPr>
        <w:t>Golden Pond Private Hospital uses a pre-packaged medication system and e-prescribing system. Medication is administered by staff with current medication administration competencies. Medication reviews are completed by the general practitioners (GPs) in a timely manner.</w:t>
      </w:r>
    </w:p>
    <w:p w:rsidRPr="00A4268A" w:rsidP="00621629">
      <w:pPr>
        <w:spacing w:before="240" w:line="276" w:lineRule="auto"/>
        <w:rPr>
          <w:rFonts w:eastAsia="Calibri"/>
        </w:rPr>
      </w:pPr>
      <w:r w:rsidRPr="00A4268A">
        <w:rPr>
          <w:rFonts w:eastAsia="Calibri"/>
        </w:rPr>
        <w:t>All aspects of food procurement, production, preparation, storage, transportation, delivery and disposal comply with current legislation and guidelines. There was a current food safety plan approved by the Ministry of Primary Industries.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a current building warrant of fitness which is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Six enablers and seven restraints were in use at the time of the audit. Use of enablers was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suitable to the size and scope of the service. Infection rates and antibiotic use are monitored. Data on infections is collated, analysed and trends identified and acted upon where required. There has been no infection outbreak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73"/>
        <w:gridCol w:w="1280"/>
        <w:gridCol w:w="101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concerns/complaints management form and policy were reviewed in February 2019. The documentation meets the requirements of Right 10 of the Code of Health and Disability Services Consumers Rights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15 complaints have been received since February 2019 and all actions are taken through to an agreed resolution. Any resolutions are documented and completed within the required timeframes. Action plans showed follow-up and improvements have been made where possible. Two recent complaints have not been closed out. There was one complaint that was recently reported to the DHB and to the nurse manager. Appropriate responses were provided and there has been no correspondence since the 30 August 2019 recorded. The nurse manager is responsible for all complaints. No other external complaints have been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Reviewed records in residents’ files evidenced that information was provided to residents and family where required. Interviewed residents and family members stated they were kept well informed about any changes to their/their relative’s status, were advised in a timely manner about any incidents or accidents and outcomes of regular and any urgent medical reviews.  Interviewed staff understood the principles of open disclosure. Records of adverse events, and progress notes confirmed that family were contacted.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staff able to provide interpretation as and when needed and the use of family members for those with communication difficulties. On the day of the audit, staff were observed communicating with residents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is reviewed annually and outlines the purpose, values, scope, direction and goals of the organisation. The philosophy, mission statement and values are documented in the business plan, the service agreement and other documents. A sample of monthly reports to the owner showed adequate information is gathered to monitor performance including any trends, financial performance, emerging risks and/or any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nurse manager who holds relevant qualifications and has been in this role for 21 years. Responsibilities and accountabilities are defined in a job description and individual employment agreements reviewed. The nurse manager confirmed knowledge of the sector, regulatory and reporting requirements and maintains currency through maintaining and meeting the registered nurse annual practising certificate requirements and by attending any management education provided at the Bay of Plenty district health board (BOPDHB) at Whakatane Hospital. The nurse manager is supported by the clinical nurse who has worked in aged care and palliative care for twenty-seven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BOPDHB for palliative care, rest home, respite, hospital level care, long term chronic health and under 65 years (YPD). On the day of audit 59 residents were receiving services under the contracts with four rest home level care residents, 52 hospital level care residents including four LTCH all of whom are under 65 years of age. In addition there are two palliative care residents and one resident was under the accident corporation commission (ACC).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for example the management of incidents and complaints, internal audit activities, a regular resident satisfaction survey, monitoring of outcomes, clinical incidents including infection control and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the review and analysis of quality indicators and that related information is reported and discussed at the management quality and risk team meeting and staff meetings. Staff reported their involvement in quality and risk management activities through, for example, the internal audit schedule sighted and minutes of all meetings which were sighted. Staff reported their involvement in infection prevention and control meetings. Relevant corrective actions were developed and implemented to address any shortfalls. Resident and family satisfaction surveys are completed annually. The most recent survey showed that the families are satisfied with the care and management of residents and family members are responded to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all service and contractual requirements, including reference to the interRAI Long Term Care Facility (LTCF) assessment tool and process. Policies are based on best practice and were current. The documents control system ensures a systematic and regular review process, referencing or relevant sources, approval, distribution and/or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the processes for the identification, monitoring, review and reporting of risks and development of any mitigation strategies. The hazard audit was completed 22 July 2019. The environment is checked monthly and an annual report was presented to the owner/director February 2019.The nurse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 up in a timely manner. The nurse manager explained and demonstrated a new system which has been implemented two months ago using the interRAI system for reviewing wounds, pressure injuries and skin tears. Benchmarking occurs monthly with three other aged residential care services and the graphs were available and reviewed. The information provided covered total staff incidents, medication errors, near misses, abuse whether verbal or physical, ‘wandering’, pressure injuries (stage 2 and above), fractures, skin tears and falls.  The adverse events are reported to the director and outcomes fed back to staff at the staff meetings and at handover between shifts.</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essential notification reporting requirements, including for pressure injuries. The nurse manager was fully informed about what events have to be reported and understands the Health and Disability (Safety) Act 2001 Section 31 reporting guidelines which were sighted and available to guide staff. Two section 31 notifications have been completed since the previous audit; one in relation to registered nurse coverage and one in relation to a medication misadventure. The later was also reported to the New Zealand Police.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The nurse manager is responsible for employment and staff management. The recruitment process includes referee checks, police vetting and validation of qualifications and annual practising certificates (APCs) where required for all health professionals. A sample of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Job descriptions were reviewed. Staff interviewed reported that the orientation process prepared them well for their role. Staff records evidenced documentation of completed orientation and performance appraisals are completed annually. The nurse manger has an implemented system in place for managing this aspect of human resource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with annual mandatory requirements being met and two yearly education undertaken to meet the obligations with the organisation’s contract with the DHB.  Sixteen staff have completed first aid courses and have current first aid certificates. This training is monitored and refresher courses are completed two yearly. All registered nurses, one enrolled nurse and two team leaders (senior caregivers) have all completed medication competencies. The night staff caregivers are competent ‘medication checkers’.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with nine (9) level 1, eight (8) level 2, fifteen (15) level 3, eleven (11) level 4a and eleven (11) level 4. There is one senior staff member who is the service assessor for the education programme implemented. The programme is overseen by the nurse manager and/or the clinical manager. Records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interviewed reporting that good access to advice is available when needed. Care staff interviewed reported there were adequate staff available to complete the work allocated to them. Residents and family interviewed supported this. Observations and a review of a four-week roster cycle confirmed adequate staff cover has been provided, with staff being replaced in any unplanned absence. At least one staff member on duty has a current first aid certificate and there is 24/7 registered nurse coverage at all times. A contingency plan is in place to ensure RN cover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in reviewed files were legible with the name and designation of the person making the entry identifiable. There is a staff signatures register in place for reference when required. Previous area of improvement was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interviewed caregivers demonstrated good knowledge and had a clear understanding of their roles and responsibilities related to each stage of medicine management.  All staff who administer medicines are competent to perform the function they manage and current medication management competencies were sighted in the reviewed staff documents. An RN was observed administering medications and correct and safe medicine management procedures were demonstrated. The medicine trolley was kept within sight. Appropriate documentation was completed.</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RNs check medications against the prescription. There were no expired medications on site. Unwanted medicines are returned to the pharmacy, they are collected from the facility by the pharmacy staff. Clinical pharmacist input is provided on request. Medication fridge temperatures were being monitored daily and where anomalies were noted, corrective actions were implemented; records of this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controlled drugs stored securely in accordance with requirements and checked by two staff for accuracy when administering. The controlled drug register provided evidence of weekly and six-monthly stock checks and accurate entries.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Regular three-monthly medication reviews were completed, with electronic records sighted confirming this.  Residents’ current photos, allergies and any special instructions were recorded on the electronic prescription charts.</w:t>
            </w:r>
          </w:p>
          <w:p w:rsidR="00EB7645" w:rsidRPr="00BE00C7" w:rsidP="00BE00C7">
            <w:pPr>
              <w:pStyle w:val="OutcomeDescription"/>
              <w:spacing w:before="120" w:after="120"/>
              <w:rPr>
                <w:rFonts w:cs="Arial"/>
                <w:b w:val="0"/>
                <w:lang w:eastAsia="en-NZ"/>
              </w:rPr>
            </w:pPr>
            <w:r w:rsidRPr="00BE00C7">
              <w:rPr>
                <w:rFonts w:cs="Arial"/>
                <w:b w:val="0"/>
                <w:lang w:eastAsia="en-NZ"/>
              </w:rPr>
              <w:t>There were nine residents who were self-administering medications at the time of audit. Appropriate assessments and regular reviews of residents’ competence to do so were completed to ensure this was managed in a safe manner. Medicines were kept in locked drawers or lockboxes in residents’ rooms. Interviewed residents confirmed satisfaction with the process.</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analysed, and corrective actions implemented as required. The previous areas that required improvement regarding security of medications during medication round, recording of reasons for medication refusal and completion of mandatory six-monthly controlled drug checks were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cooks and kitchen hands and is in line with recognised nutritional guidelines for older people. The menu follows summer and winter patterns on a four weekly cycle and has been reviewed by a qualified dietitian within the last two years. Meals were served in respective dining rooms or in residents’ rooms if desired by the resident.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(MPI) with an expiry date of 9 October 2020. Food, fridge and freezer temperatures, including for high risk items, were monitored appropriately and recorded as part of the plan.  The cooks and the kitchen hands have completed relevant food safety and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is developed.  The personal food preferences, any special diets and modified texture requirements are made known to kitchen staff and accommodated in the daily meal plan.  Copies of the residents’ dietary profiles were sighted in the kitchen records reviewed.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weights were monitored monthly or more frequently if clinically indicated. Nutritional supplements were provided where indicated and documentation was sighted in reviewed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clean, pantry stocked well, decanted food was labelled with dates and covered. Cleaning schedules were in place and implemented, signed records were sighted.</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families/whanau confirmed satisfaction with the meals provided.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that required improvement regarding poor shelving condition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Reviewed residents’ records evidenced that care provided to residents was consistent with their assessed needs, goals and the plan of care. There was a diverse range of residents and their individual needs were met as confirmed by interviewed residents and family members.  The GP interview verified that medical input is sought in a timely manner and that medical orders are followed and care is provided promptly. Care staff confirmed that care was provided as outlined in the documentation. Specialised equipment was provided for residents who require it. A wide range of equipment and resources were available and suited to the levels of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An activities assessment is completed for each resident on admission to ascertain residents’ needs, interests, abilities and social requirements. The activities coordinator interviewed confirmed that residents’ activities participation is monitored daily and significant changes in participation are reported and acted upon. Daily activities attendance records were sighted in the reviewed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plans are regularly reviewed to help formulate an activities programme that is meaningful to the residents with input from residents and family members where applicable.  Residents and families/whānau are involved in evaluating and improving the programme through discussions in the residents’ meetings and as part of satisfaction surveys. The resident’s activity needs are evaluated when there is a significant decline in a resident’s condition and participation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including music entertainment, bowls, quiz, newspaper reading, iPad use, exercises, church services, men’s group activities, female group activities, arts and craft. The activities are divided into three groups capturing for different age groups and functioning ability of residents, including high functioning, moderate functioning and low functioning groups. However, all residents are welcome to participate in any group activities if desired as reported by the activities coordinator. Residents and families confirmed satisfaction with the activities programme and confirmed that residents can attend to any activities of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Reviewed residents’ long-term care plans evidenced evaluations occur every six months, or as residents’ needs change (Refer  to 1.3.3.3). Where progress was different from expected, the service responded by initiating changes to the plan of care. Regular evaluation of responses to planned care in short term care plans was evidenced in the documents reviewed. When necessary, unresolved problems were added on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by the caregivers. The RNs review and document in the progress notes daily. Interviewed caregivers reported that any change noted, is reported to the RNs. </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families/whānau confirmed involvement in evaluation of progress and any resulting changes. Family contact records were sighted in the reviewed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area requiring improvement from the previous audit in relation to a sling hoist used for transferring residents not able to be cleaned effectively has been addressed. This hoist has been fully cleaned and painted and can now be easily wiped down for infection control purposes. In addition to this finding the communal showers and toilet doors requiring repair have been repaired/replaced as needed and the small hole in the shower wall was fully relined. Exterior repairs and maintenance are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which expires 01 June 2020 was publicly displayed at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were shared with staff via regular staff meetings and at staff handovers. Staff meeting minutes were sighted to verify this. Graphs are produced that identify trends for the current year, and comparisons against previous years and this is reported to the director. Data is benchmarked externally within other aged care providers who provide similar services. The infection control coordinator (ICC) reported that benchmarking has provided assurance that infection rates in the facility are below average for the sector.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fungal, eye, gastro-intestinal, the upper and lower respiratory tract. The ICC coordinator reviews all reported infections, and these were documented. Interviewed staff confirmed that new infections and any required management plans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No infection outbreak have been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provided guidance on the safe use of both restraints and enablers. The restraint coordinator is an enrolled nurse who has been in the role for one year. The enrolled nurse was not interviewed on the day of the audit. The restraint register was available and reviewed. On the day of the audit, six enablers were in use and seven restraints (five bedrails and two wheelchair restraints) were being used by residents.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residents’ records reviewed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9"/>
        <w:gridCol w:w="1280"/>
        <w:gridCol w:w="7096"/>
        <w:gridCol w:w="1581"/>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admission assessments including initial interRAI assessments were completed within three weeks of admission. Long term care plans were completed within three weeks of admission with input from assessment outcomes, residents and family members, and hospital discharge summaries where applicable. Enduring power of attorneys (EPOAs) were involved in the assessment, planning and evaluation processes, where appropriate.  Identified needs were planned for in the records reviewed and changes to interventions were completed and implemented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Not all interRAI reassessments were completed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out of 58 interRAI reassessments were not completed six monthly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interRAI reassessments are completed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Golden Pond Private Hospital Limited - Golden Pond Private Hospital</w:t>
    </w:r>
    <w:bookmarkEnd w:id="58"/>
    <w:r>
      <w:rPr>
        <w:rFonts w:cs="Arial"/>
        <w:sz w:val="16"/>
        <w:szCs w:val="20"/>
      </w:rPr>
      <w:tab/>
      <w:t xml:space="preserve">Date of Audit: </w:t>
    </w:r>
    <w:bookmarkStart w:id="59" w:name="AuditStartDate1"/>
    <w:r>
      <w:rPr>
        <w:rFonts w:cs="Arial"/>
        <w:sz w:val="16"/>
        <w:szCs w:val="20"/>
      </w:rPr>
      <w:t>30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