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Glaisdale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Glaisdale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October 2019</w:t>
      </w:r>
      <w:bookmarkEnd w:id="7"/>
      <w:r w:rsidRPr="009418D4">
        <w:rPr>
          <w:rFonts w:cs="Arial"/>
        </w:rPr>
        <w:tab/>
        <w:t xml:space="preserve">End date: </w:t>
      </w:r>
      <w:bookmarkStart w:id="8" w:name="AuditEndDate"/>
      <w:r w:rsidR="00A4268A">
        <w:rPr>
          <w:rFonts w:cs="Arial"/>
        </w:rPr>
        <w:t>17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Glaisdale is owned and operated by Radius Residential Care Limited.   The service is certified to provide rest home, hospital, medical and dementia level of care for up to 80 residents.   On the day of audit 69 residents.  </w:t>
      </w:r>
    </w:p>
    <w:p w:rsidRPr="00A4268A">
      <w:pPr>
        <w:spacing w:before="240" w:line="276" w:lineRule="auto"/>
        <w:rPr>
          <w:rFonts w:eastAsia="Calibri"/>
        </w:rPr>
      </w:pPr>
      <w:r w:rsidRPr="00A4268A">
        <w:rPr>
          <w:rFonts w:eastAsia="Calibri"/>
        </w:rPr>
        <w:t>The service is managed by a facility manager/registered nurse who has been in the role eight months and has previous experience as a clinical manager in aged care.   He is supported by a Radius regional manager.  There is a current vacancy for a clinical manager.  Residents, relatives and the GP interviewed spoke positively about the service provided at Glaisdale.</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 xml:space="preserve">All three shortfalls from their previous certification audit have been addressed regarding communication with relatives, care plan interventions and aspects of medicine management.         </w:t>
      </w:r>
    </w:p>
    <w:p w:rsidRPr="00A4268A">
      <w:pPr>
        <w:spacing w:before="240" w:line="276" w:lineRule="auto"/>
        <w:rPr>
          <w:rFonts w:eastAsia="Calibri"/>
        </w:rPr>
      </w:pPr>
      <w:r w:rsidRPr="00A4268A">
        <w:rPr>
          <w:rFonts w:eastAsia="Calibri"/>
        </w:rPr>
        <w:t xml:space="preserve">There were two findings identified at this surveillance audit around neurological observations and timeliness around initial interRAI assessments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open communication with residents and relatives which also includes open discussion around incidents.  There are two monthly resident/relative meetings which provide an opportunity for suggestions and feedback on the services provided at Glaisdale.  Information about the Code and related services is readily available to residents and families.  Complaints processes are being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responsible for the day-to-day operations and is supported by a regional manager.  The quality and risk management programme include service philosophy, goals and a quality planner.  Quality activities, including Radius key performance indicators, are conducted and this generates improvements in practice and service delivery.  Meetings are held to discuss quality and risk management processes.  Residents and families.  are surveyed annually.  Health and safety policies, systems and processes are implemented to manage risk.  Incidents and accidents are reported.  There is an internal audit programme that is followed with any quality improvements identified and implemented.  An education and training programme have been implemented with a current plan in place.  An orientation programme is in place for new staff.  Appropriate employment processes are adhered to.  There is a roster that provides sufficient and appropriate coverage for the effective delivery of care.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assessments, care plans and evaluations using the e-case electronic system.  Residents/relatives are involved in planning and evaluating care.  Risk assessment tools including the interRAI assessment tool, and monitoring forms are included on this system and implemented and are used to assess the level of risk and support required for residents.  Service delivery plans demonstrate service integration.  Short-term care plans are in use for changes in health status.  Care plans are evaluated six monthly or more frequently when clinically indicated.  </w:t>
      </w:r>
    </w:p>
    <w:p w:rsidRPr="00A4268A" w:rsidP="00621629">
      <w:pPr>
        <w:spacing w:before="240" w:line="276" w:lineRule="auto"/>
        <w:rPr>
          <w:rFonts w:eastAsia="Calibri"/>
        </w:rPr>
      </w:pPr>
      <w:r w:rsidRPr="00A4268A">
        <w:rPr>
          <w:rFonts w:eastAsia="Calibri"/>
        </w:rPr>
        <w:t xml:space="preserve">The activities team provide an activities programme that involves the wider community.  Each resident has an individualised plan and activities are scheduled across the week. </w:t>
      </w:r>
    </w:p>
    <w:p w:rsidRPr="00A4268A" w:rsidP="00621629">
      <w:pPr>
        <w:spacing w:before="240" w:line="276" w:lineRule="auto"/>
        <w:rPr>
          <w:rFonts w:eastAsia="Calibri"/>
        </w:rPr>
      </w:pPr>
      <w:r w:rsidRPr="00A4268A">
        <w:rPr>
          <w:rFonts w:eastAsia="Calibri"/>
        </w:rPr>
        <w:t xml:space="preserve">The medication management system follows recognised standards and guidelines for safe medicine management practice.  Staff complete competency assessments.  </w:t>
      </w:r>
    </w:p>
    <w:p w:rsidRPr="00A4268A" w:rsidP="00621629">
      <w:pPr>
        <w:spacing w:before="240" w:line="276" w:lineRule="auto"/>
        <w:rPr>
          <w:rFonts w:eastAsia="Calibri"/>
        </w:rPr>
      </w:pPr>
      <w:r w:rsidRPr="00A4268A">
        <w:rPr>
          <w:rFonts w:eastAsia="Calibri"/>
        </w:rPr>
        <w:t xml:space="preserve">Meals are prepared on-site by a contracted company.  Individual and special dietary needs are catered for.  Residents interviewed responded favourably regarding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plan.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no residents with restraint and no residents using enablers.  Staff receive regular education and training on restraint minimisation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Standardised definitions are used for the identification and classification of infection events.  The infection control co-ordinator (facility manager) is responsible for the collation, analysis and trending of data.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7"/>
        <w:gridCol w:w="1280"/>
        <w:gridCol w:w="104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Compliments, suggestions or complaints forms are available within the facility.  There have been two complaints in 2018 and seven complaints in 2019 to date.   The complaint register includes relevant information regarding the complaint.   The complaints reviewed included acknowledgement, investigation, resolution and information provided regarding access to advocacy.   The required timeframes for complaint management as determined by the Health and Disability Commissioner,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(two rest home and two hospital) and two hospital level family members interviewed stated they were welcomed on entry and were given time and explanation about services and procedures.  The relatives confirmed they are notified promptly of any changes in their relative’s health status.  Twenty-six incidents/accidents reviewed from the month of August 2019 evidenced relatives were notified within a timely manner.  The previous finding around communication with family regarding falls has been addressed.  Families are involved in the development and review of resident care plans.   Resident and relative meetings are held two monthly.  Quarterly newsletters keep residents and families updated on facility matters, services and feedback on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facility manager has an open-door policy.  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Glaisdale is part of the Radius Residential Care group.  The service currently provides rest home, hospital (and medical) and dementia levels of care for up to 80 residents.  On the day of the audit there were 69 residents including 17 hospital level residents (including one respite and one resident under ACC), 32 rest home residents and 20 dementia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Radius business plan 2018 – 2021.  Radius Glaisdale has a site-specific business plan 2018 – 2019 that includes the mission statement.  Objectives are reviewed quarterly and regularly and includes falls prevention, achieving all internal audits above 95% and staff recruitment and retention.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manager (registered nurse) oversees four Radius sites in Hamilton and is based at Glaisdale for up to two days a week.  The facility manager provides monthly reports to the regional manager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since February 2019.  He has previous experience as a clinical manager at another facility.  There has been a vacancy for a clinical manager since July 2019.  The organisation has been actively recruiting for a replacement with an appointment in the near future.  The facility manager and senior RN are covering the vacancy with support from the regional manager and managers from the other local sites.    The DHB and HealthCERT were notified of the change of facility manager.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with a current practicing and has completed orientation to the role including marketing, funding, business planning, risk management and ARC contracts.  He also attended the three-day Radius managers conference covering human resources, DHB contracts and leadership.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 and risk management plan in place.  Quality and risk performance are reported at the weekly hub (heads of department) meetings and staff meetings.   The facility manager advised that he is responsible for providing oversight of the quality programme.  There is daily triangle of support meetings (facility manager, senior RN (in the absence of a clinical nurse manager) and administration manager.   There are monthly staff meetings that includes set agenda items of health and safety, infection control, audit outcomes, restraint and any concerns/complaints.  All quality data, trends and analysis are documented in meetings minutes which are available to staff.  Registered nurse meetings are held at least six weekly.  Required actions and resolutions from facility meetings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annually in April with results communicated to residents, relatives and staff through meetings and newsletters.  An upward trend of increased resident/relative satisfaction in meals and activities was identified    A separate food satisfaction survey in September 2019 demonstrated residents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service’s policies are reviewed at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Data is collected in relation to a variety of quality activities (accidents/incidents, pressure injuries staff incidents, infection control, hazards, compliments/complaints and internal audit outcomes).  An internal audit schedule continues to be completed.  Audits are delegated to the relevant personnel.  The regional manager completes facility heath checks.  Corrective action reports and re-audits are required for any audit results less than 95%.   Corrective actions or quality initiative plans are developed, evaluated and signed off when completed.  Outcomes of internal audits are discussed at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hazard control and emergency policies and procedures are in place.  Health and safety goals are included in the site-specific quality plan.  Health and safety are an agenda topic at the facility meetings and staff have the opportunity to raise any health and safety concerns/issues.   The service has a nominated health and safety representative who commenced the role in September 2019.  She has completed a two-day health and safety course.   Staff interviewed confirmed they are kept informed on health and safety matters and hazard management.  There is a current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regular resident checks, use of sensor mats, low beds, GP reviews to exclude medical causes, physiotherapy assessment.  There is a quality improvement plan in place to reduce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and corrective action to minimise incidents/accidents.  Incidents are included in the Radius key performance indicators (KPI).  Twenty-six incidents/accidents (falls, skins, bruise) entered into the electronic system for August 2019 identified timely notification of family, RN assessments, corrective actions and interventions; however, not all unwitnessed falls had neurological observations completed as per protocol (link 1.3.6.1).  There is a discussion of incidents/accidents at the monthly staff/quality and clinical meetings including trends, analysis and actions to minimise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regional manager confirmed that there is an awareness of the requirement to notify relevant authorities in relation to essential notifications.  There have been no incidents or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professional development.  Six staff files reviewed (one facility manager, two RNs and three HCAs) included reference checking, signed employment contracts, job descriptions, completed orientation programmes and annual performance appraisals.  A register of RN staff and other health practitioner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Staff are required to complete written core competencies during their induction and complete an orientation handbook.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covers mandatory requirements and exceeds eight hours annually.  The service identified education attendance was low and have implemented (from July 2019) three training sessions that are to be held throughout the year requiring all staff to attend all sessions annually.  Session 1 includes all topics relating to personal cares, session 2 relates to wellbeing and topic 3 is focused on health and safety.  The same session is provided in the morning and the afternoons allowing staff on all shifts the opportunity to attend.  Staff are rostered to attend.    Other topical education is provided throughout the year.  Staff complete competencies relevant to their roles including medication, syringe driver, food safety, restraint, and fire safety.  Radius have two career force assessors.</w:t>
            </w:r>
          </w:p>
          <w:p w:rsidR="00EB7645" w:rsidRPr="00BE00C7" w:rsidP="00BE00C7">
            <w:pPr>
              <w:pStyle w:val="OutcomeDescription"/>
              <w:spacing w:before="120" w:after="120"/>
              <w:rPr>
                <w:rFonts w:cs="Arial"/>
                <w:b w:val="0"/>
                <w:lang w:eastAsia="en-NZ"/>
              </w:rPr>
            </w:pPr>
            <w:r w:rsidRPr="00BE00C7">
              <w:rPr>
                <w:rFonts w:cs="Arial"/>
                <w:b w:val="0"/>
                <w:lang w:eastAsia="en-NZ"/>
              </w:rPr>
              <w:t>Five of nine RNs (including the facility manager) have completed their interRAI training.  Registered nurses are supported to maintain their professional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15 HCAs who work in the dementia care unit.  Five have completed the dementia unit standards and six HCAs are progressing through the units.  Four HCAs are newly employed and yet to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acuity and clinical staffing ratio policy in place that includes a documented rationale for staffing the service.  The facility manager is a registered nurse, works full time and on-call.  Additional support is also provided by a regional manager (Monday to Friday).   Staffing is as follows:   There are two RNs on the morning shift and two on the afternoon shift.  One RN on each shift is allocated to oversee the dementia unit.  There is one RN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60-bed dual purpose unit), there were 49 residents on the day of audit (32 rest home and 17 hospital level residents).  There are six HCAs on the morning shift – three on full shift and three finishing at 2pm.   There are six HCAs on the afternoon shift – three on full shift, one finishing at 8.30pm and one from 2-6pm.  There are two HCAs on night shift.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Dementia unit – 20 beds:  Currently 20 residents.  There are two HCAs on the morning shift with one finishing at 2.30pm.  There are two HCAs on afternoon shift with one finishing at 9pm.  There is one HCA on night shift with other HCAs and the RN readily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that there is adequate staffing to manage their workload.  When staff are absent and a replacement cannot be found from the current staff, agency staff are used.  The service has developed a staffing action plan to follow for staff sickness.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that there are sufficient staff on-site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management policies and procedures comply with medication legislation and guidelines.  Registered nurses and medication competent HCAs administer medications and have completed medication competencies and medication education.  Medication administration was observed in the hospital and the dementia care unit.  Administration practice was compliant against the administration policy.  Medications are delivered in robotic rolls, and there is documented evidence that these have been checked against the medication chart.  Each unit has a medication room.  All medications were within the expiry date, and a process has been implemented to ensure that all expired medications are returned to the pharmacy.  The medication fridges are monitored, and all temperatures were within the acceptable range.  All eyedrops in use were dated on opening.  There was one self-medicating rest home resident in the facility.  A self-medicating assessment had been completed and the assessment was reviewed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(paper-based) were reviewed (four hospital, four rest home and four dementia care) and met prescribing requirements, the allergy status had been identified on all charts.  As required medications had prescribed indications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around medication reconciliation, expiry dates and allergy status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located within the service area of the building.  All food and baking is prepared and cooked on-site by a contracted service.  The chef/kitchen manager is a qualified chef.  He is supported by a second chef and kitchen assistants who have all completed food safety training.  The four weekly seasonal rotating menu has been reviewed by a dietitian.  There are menu options for special diets and food preferences.  The chef works with families on cultural preferences to ensure residents of different cultures have their dietary needs met.  There is special equipment available for residents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cooked, put into a bain marie, plated up, transferred to a hot box, sealed for 20 minutes and then served.  End-cooked temperatures and hot/cold box temperatures are monitored.  A resident nutritional profile is developed for each resident on admission and provided to the kitchen staff.  The chef is notified of any changes to resident’s dietary requirements.  Protein supplement is added to porridge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chiller are monitored and recorded.  The chemical provider checks and monitors the performance of the dishwasher.  All food is stored appropriately and dated.  A cleaning schedule is maintained.  The current food control plan expires on 3 March 2020.</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service have access to snacks 24 hours.  Residents and the family members interviewed commented positively about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develop the long-term support plan from information gathered over the first three weeks of admission.  Resident care plans reviewed were resident-focused and individualised.  Support needs as assessed including behaviour management plans (as appropriate) were included in the long-term care plans reviewed.  The previous finding around care plan interventions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for changes to health status and were sighted in resident files, for example for infections and wounds.  Short-term care plans have either been resolved or if ongoing, transferred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evidenced resident (as appropriate) and family/whānau involvement in the care plan process.  Files reviewed provided evidence of relative’s involvement in the care planning process where appropriate.  There was evidence of allied health care professionals involved in the care of the resident including physiotherapist, podiatrist and dietitian.  Care plans were amended to reflect changes in health status and were reviewed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 they are contacted for any changes in the resident’s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care plans, wound review plans and evaluation notes were in place for residents with wounds.  Wound documentation was complete.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hospital residents with pressure injuries (PI); one resident with two stage one pressure injuries and two stage two pressure injuries; one resident with two stage two pressure injuries; and one resident with one stage one pressure injury.  In the rest home there was one resident with a stage one PI and one resident with a stage two PI.  In the dementia service there was one resident with a stage two PI.  There had been GP input for PIs.  Four HCAs interviewed had received prevention of pressure injury education and there were adequate pressure relieving resources available.  Other wounds being treated on the day of the audit included four surgical wounds; 13 skin tears; two skin conditions; four scrape / abrasions and one laceration.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was aware of an increasing number of pressure injuries and focusing education and practice around pressure injury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(interviewed) have access to specialist nursing wound care management advice as required.  Staff have access to sufficient medical supplies, dressings and continence products.  Resident files include continence assessments and plans as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completed and reviewed, for example, turning charts, food and fluid charts, blood pressure, weight charts and behaviour charts.  Neurological observations had not been completed as per protocol.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team leader has been in the role for two months and is employed nine hours per week and oversees the activity programme for the rest home, hospital and dementia care unit.  There are three activities team staff who rotate across the rest home, hospital and dementia services.  One activities staff member is employed 10 hours per week; one is employed 30 hours per week, and one is employed 20 hours per week.  Healthcare assistants in the dementia unit incorporate activities for residents into their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programmes include includes dancing, singing, music, board games, newspaper reading, arts, movies and happy hours.  One-on-one time is spent with residents who choose not to or are unable to participate in group activities.  There are regular exercise groups, walks, entertainment and van outings.  Community visitors include volunteers, church services, the Salvation Army choir and band, and speakers.  The activity programme for dementia care residents is flexible and focused on meaningful activities, small group activities and one-on-one time.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have an individual recreational assessment and activity plan that is evaluated at least six monthly.  Residents and families interviewed commented positively on the activity programme.  Residents have the opportunity to feedback on the activity programme through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evaluations of the plan of care had been evaluated.   Written evaluations identify if the resident/relative goals are met or unmet.  Short-term care plans sighted on eCase have been evaluated and resolved or added to the applicable long-term care plan if the problem is ongoing.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that expires on 13 September 2020.  The maintenance manager was interviewed and described hot water monitoring (records were sighted) and the reactive and preventive maintenance system.  The facility has access to maintenance personnel after hours as required.  The maintenance management system is electronic.  There are well kept garden areas with accessible outdoor spaces, seating and shade including a secure area for those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acting infection control coordinator/facility manager holds a recognised infection control qualification and is covering the role pending the appointment of a clinical manager.   All infections are reported in the eCase system and a monthly report including end of month trends and analysis is generated.  Data including corrective actions is discussed at the management and facility meetings.  Corrective actions are implemented where upward trends are identified for infections.  Meeting minutes and infection control data are displayed in the staff room.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 service has documented systems in place to ensure restraint is minimised an only used as the last resort.  On the day of audit, there were no residents with restraint and no residents using enablers.  Staff training has been provided around restraint minimisation and challenging behaviours.  Internal audits are completed and monitor compliance against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0"/>
        <w:gridCol w:w="1280"/>
        <w:gridCol w:w="6789"/>
        <w:gridCol w:w="1975"/>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files were reviewed.  Initial assessments and an interim care plan had been developed by registered nurses within 24 hours of admission for all residents including the respite care resident.   Two files reviewed (one respite care and one resident under ACC) did not require interRAI assessments.  InterRAI assessments for three of the four long-term residents had not been completed within 21 days of admission.  Electronic evaluations (multidisciplinary – MDT case conference) are completed at least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files (two dementia care and one rest home) reviewed did not have interRAI assessments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initial interRAI assessments are completed within the required time frame.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(interviewed) have access to specialist nursing wound care management advice as required.  Staff have access to sufficient medical supplies, dressings and continence products.  Resident files include continence assessments and plans as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completed and reviewed, for example, turning charts, food and fluid charts, blood pressure, weight charts and behaviour charts.  Neurological observations had not been completed as per protocol.</w:t>
            </w:r>
          </w:p>
          <w:p w:rsidR="00EB7645" w:rsidRPr="00BE00C7" w:rsidP="00BE00C7">
            <w:pPr>
              <w:pStyle w:val="OutcomeDescription"/>
              <w:spacing w:before="120" w:after="120"/>
              <w:rPr>
                <w:rFonts w:cs="Arial"/>
                <w:b w:val="0"/>
                <w:lang w:eastAsia="en-NZ"/>
              </w:rPr>
            </w:pPr>
            <w:r w:rsidRPr="00BE00C7">
              <w:rPr>
                <w:rFonts w:cs="Arial"/>
                <w:b w:val="0"/>
                <w:lang w:eastAsia="en-NZ"/>
              </w:rPr>
              <w:t>Twelve unwitnessed falls and corresponding progress notes were reviewed on the e-case system.  Ten of the 12 neurological observations for unwitnessed falls had not been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had not been completed for 10 of 12 unwitnessed falls as per protocol.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are completed as is required by protocol.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Glaisdale</w:t>
    </w:r>
    <w:bookmarkEnd w:id="58"/>
    <w:r>
      <w:rPr>
        <w:rFonts w:cs="Arial"/>
        <w:sz w:val="16"/>
        <w:szCs w:val="20"/>
      </w:rPr>
      <w:tab/>
      <w:t xml:space="preserve">Date of Audit: </w:t>
    </w:r>
    <w:bookmarkStart w:id="59" w:name="AuditStartDate1"/>
    <w:r>
      <w:rPr>
        <w:rFonts w:cs="Arial"/>
        <w:sz w:val="16"/>
        <w:szCs w:val="20"/>
      </w:rPr>
      <w:t>17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