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 &amp; K Atkins Limited - The Waratah Retirement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 &amp; K Atkins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Waratah Retirement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November 2019</w:t>
      </w:r>
      <w:bookmarkEnd w:id="7"/>
      <w:r w:rsidRPr="009418D4">
        <w:rPr>
          <w:rFonts w:cs="Arial"/>
        </w:rPr>
        <w:tab/>
        <w:t xml:space="preserve">End date: </w:t>
      </w:r>
      <w:bookmarkStart w:id="8" w:name="AuditEndDate"/>
      <w:r w:rsidR="00A4268A">
        <w:rPr>
          <w:rFonts w:cs="Arial"/>
        </w:rPr>
        <w:t>25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Waratah Retirement Home provides rest home and hospital level care for up to 58 residents. The service is operated by M &amp; K Atkins Limited and managed by a manager and a clinical team leader. Residents and families spoke positively about the care provided.</w:t>
      </w:r>
    </w:p>
    <w:p w:rsidRPr="00A4268A">
      <w:pPr>
        <w:spacing w:before="240" w:line="276" w:lineRule="auto"/>
        <w:rPr>
          <w:rFonts w:eastAsia="Calibri"/>
        </w:rPr>
      </w:pPr>
      <w:r w:rsidRPr="00A4268A">
        <w:rPr>
          <w:rFonts w:eastAsia="Calibri"/>
        </w:rPr>
        <w:t>This unannounced surveillance audit was conducted against the Health and Disability Services Standards and the service’s contract with the Waitemata district health board. The audit process included review of policies and procedures, review of residents’ and staff records, observations and interviews with residents, family, management and staff. The general practitioner was not available for interview.</w:t>
      </w:r>
    </w:p>
    <w:p w:rsidRPr="00A4268A">
      <w:pPr>
        <w:spacing w:before="240" w:line="276" w:lineRule="auto"/>
        <w:rPr>
          <w:rFonts w:eastAsia="Calibri"/>
        </w:rPr>
      </w:pPr>
      <w:r w:rsidRPr="00A4268A">
        <w:rPr>
          <w:rFonts w:eastAsia="Calibri"/>
        </w:rPr>
        <w:t xml:space="preserve">The audit has resulted in an area of improvement from the last audit being closed out and two areas of improvement are identified one relating to medication management and the other related to the food service.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and when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values and objectives of the organisation. Monitoring of the services provided to the governing body is regular and effective. An experienced and suitably qualified person manages the Waratah Retirement Home.</w:t>
      </w:r>
    </w:p>
    <w:p w:rsidRPr="00A4268A">
      <w:pPr>
        <w:spacing w:before="240" w:line="276" w:lineRule="auto"/>
        <w:rPr>
          <w:rFonts w:eastAsia="Calibri"/>
        </w:rPr>
      </w:pPr>
      <w:r w:rsidRPr="00A4268A">
        <w:rPr>
          <w:rFonts w:eastAsia="Calibri"/>
        </w:rPr>
        <w:t>The quality and risk management includes analysis of quality improvement data, identifies any trends and lead to quality improvements. The quality and risk management and auditing maintains a high standard for the organisation. Adverse events are monitored, and corrective actions implemented. Actual and potential risks are identified and mitigated. The policies and procedures are current and regularly reviewed.</w:t>
      </w:r>
    </w:p>
    <w:p w:rsidRPr="00A4268A">
      <w:pPr>
        <w:spacing w:before="240" w:line="276" w:lineRule="auto"/>
        <w:rPr>
          <w:rFonts w:eastAsia="Calibri"/>
        </w:rPr>
      </w:pPr>
      <w:r w:rsidRPr="00A4268A">
        <w:rPr>
          <w:rFonts w:eastAsia="Calibri"/>
        </w:rPr>
        <w:t>The recruitment and management of staff is based on current good practice. Training and education is provided to support safe service provision and includes regular individual performance. Staffing level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are assessed prior to entry to the service to establish the level of care. The processes for assessment, planning, provision, evaluation, review and exit are provided by suitably qualified staff. InterRAI assessments and individualised care plans are documented.</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w:t>
      </w:r>
    </w:p>
    <w:p w:rsidRPr="00A4268A" w:rsidP="00621629">
      <w:pPr>
        <w:spacing w:before="240" w:line="276" w:lineRule="auto"/>
        <w:rPr>
          <w:rFonts w:eastAsia="Calibri"/>
        </w:rPr>
      </w:pPr>
      <w:r w:rsidRPr="00A4268A">
        <w:rPr>
          <w:rFonts w:eastAsia="Calibri"/>
        </w:rPr>
        <w:t>There is a medicine management system in place. Three monthly medication reviews are conducted by the general practitioner (GP).</w:t>
      </w:r>
    </w:p>
    <w:p w:rsidRPr="00A4268A" w:rsidP="00621629">
      <w:pPr>
        <w:spacing w:before="240" w:line="276" w:lineRule="auto"/>
        <w:rPr>
          <w:rFonts w:eastAsia="Calibri"/>
        </w:rPr>
      </w:pPr>
      <w:r w:rsidRPr="00A4268A">
        <w:rPr>
          <w:rFonts w:eastAsia="Calibri"/>
        </w:rPr>
        <w:t>The food service is provided onsite and caters for residents. Specific dietary likes and dislikes are accommodated. Residents’ nutritional requirements are met. A food control plan was in place.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displayed in the entrance to the facility.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were in use at the time of audit. Use of enablers is voluntary for the safety of residents in response to individual requests. Three residents were using restraints. A comprehensive assessment, approval and monitoring process with regular reviews is documented.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72"/>
        <w:gridCol w:w="1280"/>
        <w:gridCol w:w="1048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management policy meets Right 10 of the Health and Disability Commissioner’s Code of Health and Disability Services Consumers’ Rights (the Code). The complaint forms and the complaints process are accessible to staff, residents and family. Residents and family are advised of the complaints process on admission. Resident and family interviews demonstrated an understanding and awareness of how to make a complaint. Staff confirmed that they understand and implement the complaints process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manager interviewed is responsible for the management of complaints at the facility. The complaints register was reviewed. Four complaints had been received since the last audit including one from the DHB. These complaints were all addressed and effectively closed out. Resident meeting minutes confirmed that residents and their families are able to raise any issues they have during these meetings. There have been no other complaints received from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the service is in brochures and information leaflets and is provided to prospective residents and their families when their families enquire prior to admission. The resident service agreement signed by residents or their representatives on entry to the service details information about service provision. Family/whanau stated they were kept well informed about any changes to their/their relative’s health status and were advised in a timely manner about any incidents or accidents and outcomes of regular and any urgent medical reviews. This was supported in the residents’ records reviewed.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principles of open disclosure which is supported by policies and procedures that meet the requirements of the Code. The open disclosure policy was reviewed April 2019.</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know how to access interpreter services through the DHB although reported that this was rarely required due to residents being able to communicate effectively in English or sign language. There are communication strategies in place for residents with cognitive impairment or use non-verbal means of communication.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philosophy and purpose is documented as part of the quality and business plan reviewed. These are communicated to residents, staff and family through the information brochures and all orientation booklets for new staff as sighted in the individual staff personal records. The business plan for 2019 has clearly documented quality objectives.</w:t>
            </w:r>
          </w:p>
          <w:p w:rsidR="00EB7645" w:rsidRPr="00BE00C7" w:rsidP="00BE00C7">
            <w:pPr>
              <w:pStyle w:val="OutcomeDescription"/>
              <w:spacing w:before="120" w:after="120"/>
              <w:rPr>
                <w:rFonts w:cs="Arial"/>
                <w:b w:val="0"/>
                <w:lang w:eastAsia="en-NZ"/>
              </w:rPr>
            </w:pPr>
            <w:r w:rsidRPr="00BE00C7">
              <w:rPr>
                <w:rFonts w:cs="Arial"/>
                <w:b w:val="0"/>
                <w:lang w:eastAsia="en-NZ"/>
              </w:rPr>
              <w:t>The manager is responsible for the overall provision of services at The Waratah Retirement Home and Hospital and has been in this role for 27 years. The manager is supported by the clinical team leader (CTL) who is an experienced registered nurse who has worked in the aged care sector for over twenty-five years. Both the manager and the CTL attend study days and additional training and education specific to management exceeding eight hours annually.</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certified to provide residential care for rest home and hospital level care residents. The facility can provide care for up to 58 residents with 56 beds occupied on the day of audit. This included 35 rest home level care and 21 hospital level care residents. The service has a contract for respite care but there were no residents receiving this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organisational policies and procedures to support service delivery. The manager quality systems and auditing was interviewed and explained the quality and risk management policy and hierarchy o frisk documented. The planned quality and risk system reflects the principles of continuous quality improvement. This includes the management of incidents, complaints, internal audit activities. A regular satisfaction survey, monitoring of outcomes, clinical incidents including infection and restraint minimisation and safe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information is reported and discussed at the staff and quality and risk meetings. Staff reported their involvement in quality and risk management activities through audit activities for example infection prevention and control and restraint minimisation and safe practice. Relevant corrective actions are developed and implemented to address any shortfalls and/or any preventative actions are put in place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covered all aspects of service and contractual requirements including reference to the interRAI Long Term Care Facility (LTCF) assessment tool and process. Policies are based on best practice and are current. The document control system ensures systematic and regular reviews occurring. All polices are referenced of all relevant sources of information, approval, distribution and removal of any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quality systems/auditing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 followed up in a timely manner. Adverse event data is collated by the registered nurses and reported at the CTL meetings. The CTL actions the individual incidents. Comparative summaries are documented of the previous and current months. A breakdown is provided for wounds, skin tears, bruises, falls (unwitnessed and witnessed), pressure injury and other incidents. Any quality improvements required are discussed at the fortnightly staff meetings and education sessions are provided on a regular basis in conjunction with the staff meetings as recorded. The CTL is aware of the responsibilities in respect of when to make an essential notification and to whom if required. There have been no section 31 notices completed since the previous audit. Family are kept well informed of any events that may have impacted on their relatives.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policies and processes are based on employment practice and relevant legislation. The staff recruitment process includes referee checks, police vetting and validation of qualifications and practising certificates (APCs) where required. A sample of records reviewed confirmed the organisation’s policies are being consistently implemented and records are maintained. Staff orientation includes all necessary components relevant to the role. Staff reported that the orientation process prepared them well for their role. Staff records reviewed show documentation of completed orientation. Booklets are provided to each staff with all information relevant to the role and these were sighted. Orientation checklists are completed. Individual staff records reviewed evidenced annual appraisals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training schedule 2019 was reviewed and is based on mandatory and contract obligation requirements and topics of interest to the staff. Four registered nurses, senior caregivers and the coach driver have completed first aid training. Records are maintained electronically by the manager quality systems/audits of all attendees; the presentation and topic and each in-service session is evaluated. Care staff have either completed or commenced a New Zealand Qualification Authority (NZQA) education programme to meet the requirements of the provider’s agreement with the Waitemata District Health Board. The gerontology nurse specialist from WDHB visits regularly as part of the residential aged care integration programme and provides educational sessions and these are recorded. There are seven registered nurses including the CTL and six are interRAI trained and maintain their annual competency requirements to undertake the interRAI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rationale policy forms the foundation for workforce planning. Staffing ratios are based on the numbers of residents and the acuity of residents in the two wings A and B wings. Staff interviewed stated that staffing levels are reviewed and allocated according to anticipated workloads. The CTL ensures there is an appropriate staff skill mix and additional staff are arranged as and when needed due to changes in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reviewed confirmed adequate numbers of suitably qualified staff are on duty to provide safe and quality care. There are registered nurses on duty every shift. The clinical team leader is on duty Monday to Wednesday and Friday – four days a week. The registered nurses have allocated time to complete the interRAI assessments. The manager and the CTL are on call after hours and weekends. The on-call arrangements are known to staff. Senior registered nurses are able to cover in the absence of the CTL if required. Residents interviewed stated that their needs are met in a timely manner. Family supported this and commented that there is always adequate staff and spoke highly of the care provided to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records and associated documentation was in place. All staff who administer medication have current medication administration competencies.  Medication reconciliation is conducted by the registered nurses when a resident is transferred back to service. The RNs check medicines against the prescription.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Self-administration medication policy and procedure is in place if required. The controlled drug register was current and correct. Weekly and six-monthly stock takes were conducted. Medication audit was conducted, and corrective actions have been acted on. RNs were observed administering medications safely and correctly.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corrective action relating to documenting (pro re nata) PRN outcomes and stop dates for short term course medication was addressed.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ensure PRN medication held in stock has documented expiry dates.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approved food plan for the service which expires 27 February 2021. Meals are prepared on site and served in the allocated dining rooms. There is a six-weekly rotating winter and summer menu in place.</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weights are monitored monthly and supplements are provided to residents with identified weight loss issues. Snacks and drinks are available for residents as and when required. The family members and residents interviewed acknowledged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All food services staff have completed training in food safety/hygiene. The kitchen and pantry were clean, tidy and well stocked. Labels and dates were on all containers and records of food temperature monitoring, fridges and freezers temperatures are maintained. Regular cleaning is conducted.</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ensure menu is reviewed by the registered dietitian to confirm it is appropriate to meet the nutritional needs of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are adequate to address the identified needs in the care plans. Significant changes are reported in a timely manner and prescribed orders carried out. The clinical team leader (CTL) reported that medical input is sought in a timely manner that medical orders are followed, and care is person centred. Care staff confirmed that care is provided as outlined in the care plan. A range of equipment and resources are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activities are appropriate to the residents’ needs and abilities. The activities are based on assessment and reflected the residents’ social, cultural, spiritual, physical, cognitive needs/abilities, past hobbies, interests and enjoyments. A resident’s activities profile is completed within two weeks of admission in consultation with the family and residents where applicable. Care plans are evaluated along with interRAI assessments. The activities are conducted by two activities coordinators covering the rest home and hospital residents. There are experienced care staff who fill in on weekends. </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planned activities that meet the needs and interests of the residents as individuals and in group settings. The activities are varied and appropriate for residents assessed as rest home and hospital level of care. Activities are offered from Monday to Sunday. The activities range from word games, walks, ball exercises, housie, bowls, bingo, music, movies, balloon flying, pet therapy, artwork, puzzles and church services.</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to be participating in a variety of activities on the audit day. The planned activities and community connections are suitable for the residents. There are regular outings/drives, for all residents from Monday to Friday to various places of interest. Residents and family members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on each shift by care staff in the progress notes. The registered nurses complete progress notes daily for residents assessed as requiring hospital level of care and weekly for residents assessed as requiring rest home level of care or as necessary. All noted changes by the care staff are reported to the RNs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are completed following interRAI reassessments every six months or as residents’ needs change. The degree of a resident’s response in relation to desired outcomes and goals are documented. These are carried out by the RNs in conjunction with family, GP and specialist service providers. Where progress is different from expected, the service responded by initiating changes to the service delivery plan.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reviewed weekly or as indicated by the degree of risk noted during the assessment process.  Interviews verified residents and family/whanau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is current dated 17 June 2020. The manager stated there have been no alterations to the buildings since the last certification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Emergency and fire safety training was provided for all staff on the 19 September 2019.  A record of attendees was reviewed. The service has an approved fire evacuation approval and the letter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annually. The surveillance policy identifies the requirements around the surveillance of infections. The infection logs are maintained and collated monthly by the infection control coordinator (ICC). The ICC is an experienced registered nurse who was not available for interview. Surveillance is appropriate to that recommended for long term care facilities and includes infections of the urinary tract, soft tissue, fungal, eye, gastro-intestinal, the upper and lower respiratory tract and skin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records evidenced that those residents diagnosed with an infection had short term care plans in place. In interviews staff reported that they are made aware of any infections through feedback from the RNs, verbal handovers, short term care plans and the progress notes. This was confirmed during attendance at the handover and review of the resident’s records. The RN interviewed confirmed that there had been no outbreaks of infection at this facility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Waratah retirement home has restraint minimisation policies and procedures that clearly document the risk assessment process and communicate its commitment to restraint minimisation. The definition of restraint and enabler are clearly stated in the organisation’s restraint policy. There were three resident using bedrails as restraint and no resident using enablers. The organisation’s policy states that approved methods of restraint and enablers are bedrails, lap belts and harness. Interviewed staff demonstrated knowledge on the difference between an enabler and a restraint. The service advocates for the least restrictive method of restraint to be used. Staff training on restraint/enabler and challenging behaviour was conducted.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74"/>
        <w:gridCol w:w="1280"/>
        <w:gridCol w:w="6578"/>
        <w:gridCol w:w="1203"/>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identifies all aspects of medicine management in line with the Medicines Care Guide for Residential Aged Care. Indications for use were noted on ‘as required’ medications, allergies were clearly indicated, and resident photos were current. Administration records were maintained, and drug incident forms completed in the event of any drug errors. All medicines were reviewed every three months or as and when necessary. The service does not keep any vaccines.</w:t>
            </w:r>
          </w:p>
          <w:p w:rsidR="00EB7645" w:rsidRPr="00BE00C7" w:rsidP="00BE00C7">
            <w:pPr>
              <w:pStyle w:val="OutcomeDescription"/>
              <w:spacing w:before="120" w:after="120"/>
              <w:rPr>
                <w:rFonts w:cs="Arial"/>
                <w:b w:val="0"/>
                <w:lang w:eastAsia="en-NZ"/>
              </w:rPr>
            </w:pPr>
            <w:r w:rsidRPr="00BE00C7">
              <w:rPr>
                <w:rFonts w:cs="Arial"/>
                <w:b w:val="0"/>
                <w:lang w:eastAsia="en-NZ"/>
              </w:rPr>
              <w:t>There were 12 packs of PRN medication held in stock which had no expiry dates.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12 PRN medication packs held in stock had no expiry dates.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PRN medication have expiry dates.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food preferences are developed on admission which identifies dietary requirements, likes and dislikes and is communicated to the kitchen including any recent changes made. Diets are modified as required and the cook confirmed awareness of dietary needs required by the residents. Meals are served warm in sizeable portions required by residents and alternatives are offered as required. The menu has not been reviewed by the registered dietitian.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evidence of menu review by the registered dietitian.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menu review by the dietitian.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 &amp; K Atkins Limited - The Waratah Retirement Home</w:t>
    </w:r>
    <w:bookmarkEnd w:id="58"/>
    <w:r>
      <w:rPr>
        <w:rFonts w:cs="Arial"/>
        <w:sz w:val="16"/>
        <w:szCs w:val="20"/>
      </w:rPr>
      <w:tab/>
      <w:t xml:space="preserve">Date of Audit: </w:t>
    </w:r>
    <w:bookmarkStart w:id="59" w:name="AuditStartDate1"/>
    <w:r>
      <w:rPr>
        <w:rFonts w:cs="Arial"/>
        <w:sz w:val="16"/>
        <w:szCs w:val="20"/>
      </w:rPr>
      <w:t>25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