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Winara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Winara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November 2019</w:t>
      </w:r>
      <w:bookmarkEnd w:id="7"/>
      <w:r w:rsidRPr="009418D4">
        <w:rPr>
          <w:rFonts w:cs="Arial"/>
        </w:rPr>
        <w:tab/>
        <w:t xml:space="preserve">End date: </w:t>
      </w:r>
      <w:bookmarkStart w:id="8" w:name="AuditEndDate"/>
      <w:r w:rsidR="00A4268A">
        <w:rPr>
          <w:rFonts w:cs="Arial"/>
        </w:rPr>
        <w:t>22 November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Bupa Winara Rest Home is part of the Bupa aged care residential group.  The service provides rest home, hospital and dementia level of care for up to 86 residents.  On the day of the audit there were 82 residents.</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general practitioner.</w:t>
      </w:r>
    </w:p>
    <w:p w:rsidRPr="00A4268A">
      <w:pPr>
        <w:spacing w:before="240" w:line="276" w:lineRule="auto"/>
        <w:rPr>
          <w:rFonts w:eastAsia="Calibri"/>
        </w:rPr>
      </w:pPr>
      <w:r w:rsidRPr="00A4268A">
        <w:rPr>
          <w:rFonts w:eastAsia="Calibri"/>
        </w:rPr>
        <w:t>The care home manager is a registered nurse and has aged care clinical and management experience with Bupa since 2007.  She is supported by a clinical manager with aged care experience.  The management team is supported by a regional operations manager.</w:t>
      </w:r>
    </w:p>
    <w:p w:rsidRPr="00A4268A">
      <w:pPr>
        <w:spacing w:before="240" w:line="276" w:lineRule="auto"/>
        <w:rPr>
          <w:rFonts w:eastAsia="Calibri"/>
        </w:rPr>
      </w:pPr>
      <w:r w:rsidRPr="00A4268A">
        <w:rPr>
          <w:rFonts w:eastAsia="Calibri"/>
        </w:rPr>
        <w:t>The residents and relatives spoke positively about the staff and the care provided at Winara.</w:t>
      </w:r>
    </w:p>
    <w:p w:rsidRPr="00A4268A">
      <w:pPr>
        <w:spacing w:before="240" w:line="276" w:lineRule="auto"/>
        <w:rPr>
          <w:rFonts w:eastAsia="Calibri"/>
        </w:rPr>
      </w:pPr>
      <w:r w:rsidRPr="00A4268A">
        <w:rPr>
          <w:rFonts w:eastAsia="Calibri"/>
        </w:rPr>
        <w:t>This audit identified areas for improvement around complaints communication, care plan documentation, neurological observations, maintenance documentation and stored water.</w:t>
      </w:r>
    </w:p>
    <w:p w:rsidRPr="00A4268A">
      <w:pPr>
        <w:spacing w:before="240" w:line="276" w:lineRule="auto"/>
        <w:rPr>
          <w:rFonts w:eastAsia="Calibri"/>
        </w:rPr>
      </w:pPr>
      <w:r w:rsidRPr="00A4268A">
        <w:rPr>
          <w:rFonts w:eastAsia="Calibri"/>
        </w:rPr>
        <w:t xml:space="preserve">The audit has also awarded two continuous improvements around; the activities programme and food services.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Staff at Bupa Winara strive to ensure that care is provided in a way that focuses on the individual, values residents' autonomy and maintains their privacy and choice.  The service functions in a way that complies with the Health and Disability Commissioner’s Code of Consumers’ Rights.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are recorded on a register.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service is implementing the organisational quality and risk management system that supports the provision of clinical care.  Quality activities are conducted, and this generates improvements in practice and service delivery.  Meetings are held to discuss quality and risk management processes.  Residents/family meetings have been held and residents and families are surveyed regularly.  Health and safety policies, systems and processes are implemented to manage risk.  Incidents and accidents are reported and followed through.  An education and training programme has been implemented with a current training plan in place.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including information on the dementia care unit.  Registered nurses are responsible for completing initial assessments, interRAI assessments, development of care plans and the evaluation of resident’s care needs in consultation with the resident/relatives.  Care plans demonstrate service integration and are reviewed at least six monthly.  Resident files included notes by the general practitioner and other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administration of medicines completes education and medicines competencies annually.  The electronic medication records reviewed included documentation of allergies and sensitivities and are reviewed at least three monthly by the general practitioner.</w:t>
      </w:r>
    </w:p>
    <w:p w:rsidRPr="00A4268A" w:rsidP="00621629">
      <w:pPr>
        <w:spacing w:before="240" w:line="276" w:lineRule="auto"/>
        <w:rPr>
          <w:rFonts w:eastAsia="Calibri"/>
        </w:rPr>
      </w:pPr>
      <w:r w:rsidRPr="00A4268A">
        <w:rPr>
          <w:rFonts w:eastAsia="Calibri"/>
        </w:rPr>
        <w:t>An activities programme is implemented separately for the rest home, hospital area and for the dementia care unit.  Residents and families reported satisfaction with the activities programme.  The programme includes community visitors and outings, entertainment and activities that meet the recreational preferences and abilities of the groups of residents.</w:t>
      </w:r>
    </w:p>
    <w:p w:rsidRPr="00A4268A" w:rsidP="00621629">
      <w:pPr>
        <w:spacing w:before="240" w:line="276" w:lineRule="auto"/>
        <w:rPr>
          <w:rFonts w:eastAsia="Calibri"/>
        </w:rPr>
      </w:pPr>
      <w:r w:rsidRPr="00A4268A">
        <w:rPr>
          <w:rFonts w:eastAsia="Calibri"/>
        </w:rPr>
        <w:t>All food and baking are done on site.  All residents' nutritional needs are identified and documented.  Choices are available and are provided.  Meals are well presented, and a dietitian has reviewed the Bupa menu plans.  Nutritious snacks are available 24/7 in the dementia care unit.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The buildings hold a current warrant of fitness.  There is a reactive maintenance system in place.  All rooms are single and have hand basins.  There is a mix of ensuites and communal toilets/shower facilities.  Communal areas within each area are easily accessed with appropriate seating and furniture to accommodate the needs of the residents.  External areas are safe and well maintained.  There is a safe external walking path and gardens for the dementia care residents that are freely accessible.  Cleaning and laundry services are well monitored through the internal auditing system.  Appropriate training and information for responding to emergencies is provided.  There is an emergency management plan in place.  There is an approved evacuation scheme.  A first aider is on duty at all times.  The temperature of the care home units is comfortable and constant.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There were five residents using restraints and one resident using an enabler during the audit.  A registered nurse is the designated restraint coordinator.  Staff are offered training in restraint minimisation and challenging behaviour management, which begins during their orientation to the service.  Staff are also expected to complete a restraint minimisation competency annually.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28"/>
        <w:gridCol w:w="1280"/>
        <w:gridCol w:w="98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Policy relating to the Code is implemented and staff could describe how the Code is incorporated in their everyday delivery of care.  Staff receive training about the Code during their induction to the service, which continues through in-service education and training.  Interviews with staff including six caregivers (two from each of hospital level, rest home and dementia), three registered nurses (one from each of hospital, rest home and dementia) two activity staff, one diversional therapist, three kitchen staff, a housekeeper and maintenance person, demonstrated their understanding of the key principles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Nine resident files were reviewed (three hospital level including one hospital resident in a dual-purpose bed, three rest home including one respite care and three dementia care resident files).  Informed consent processes are discussed with residents (as appropriate) and families on admission.  Written general consents and consent for van outings are signed by the resident or their enduring power of attorney (EPOA).  General consents include release of information to specific persons.  Advanced directives where known are signed for by the competent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discussion with family when the GP completed a clinically indicated not for resuscitation order where residents were deemed to be incompetent to make a decision.  The EPOA had been activated in the files reviewed of the three dementia care files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and caregivers interviewed confirmed verbal consent is obtained when delivering care.  Discussion with family and relatives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long-term resident files reviewed had signed admission agreements.  The respite care resident had signed a short-stay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through the HDC office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receive education and training on the role of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have visitors of their choice at any time.  The service encourages the residents to maintain relationships with their family, friends and community groups such as RSA and church groups by encouraging their attendance at functions and events and providing assistance to ensure that they are able to participate.  Residents enjoy visits from local schoolchildren and mothers’ groups.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on entry to the service.  The care home manager maintains a record of all compliments, complaints, both verbal and written, by using a complaint register (in hard copy and electronically).  There have been three complaints year to date for 2019.  Documentation including follow-up letters and resolution, demonstrated that complaints are being managed for the complainant in accordance with guidelines set by the Health and Disability Commissioner.   Meeting minutes did not document that complaints have been communicated to staff.  The investigation of complaints has not always been well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relatives confirmed they were provided with information on complaints and complaints forms.  Complaints forms are in a visible location at the entrance to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family.  This information is also available at reception.  The care home manager, the clinical manager and registered nurses discuss aspects of the Code with residents and their family on admission.  </w:t>
            </w:r>
          </w:p>
          <w:p w:rsidR="00EB7645" w:rsidRPr="00BE00C7" w:rsidP="00BE00C7">
            <w:pPr>
              <w:pStyle w:val="OutcomeDescription"/>
              <w:spacing w:before="120" w:after="120"/>
              <w:rPr>
                <w:rFonts w:cs="Arial"/>
                <w:b w:val="0"/>
                <w:lang w:eastAsia="en-NZ"/>
              </w:rPr>
            </w:pPr>
            <w:r w:rsidRPr="00BE00C7">
              <w:rPr>
                <w:rFonts w:cs="Arial"/>
                <w:b w:val="0"/>
                <w:lang w:eastAsia="en-NZ"/>
              </w:rPr>
              <w:t>All four residents (three rest home level and one hospital level) and seven relatives (two hospital, two rest home and three dementia level of care) interviewed, reported that the residents’ rights are being upheld by the service.  Interviews with residents and family also confirmed their understanding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treated with dignity and respect.  Privacy is ensured and independence is encouraged.  Discussions with residents and relatives were positive about the service in relation to their values and beliefs being considered and met.  Residents' files and care plans identified residents preferred names.  Values and beliefs information is gathered on admission with family involvement and is integrated into the residents' care plans.  Spiritual needs are identified, and church services are held.  There is a policy on abuse and neglect and staff have received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There were two residents that identified as Māori on the day of audit.  Cultural considerations were documented though the care plan for both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Māori consultation is available through a local kaumātua.  Staff receive education on cultural awareness during their induction to the service and as a regular in-service topic.  All caregivers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All residents interviewed reported that they were satisfied that their cultural and individual values were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during assessment including resident’s cultural beliefs and values, is used to develop a care plan with resident (if appropriate) and/or their family/whānau consultation.  Staff received training on cultural awareness in May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Staff and management interviewed reported a strong management team with a low staff turnover.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nursing staff are available seven days a week, 24 hours a day.  The service receives support from the district health board, which includes visits from the mental health team and nurse specialist’s visits.  Physiotherapy services are provided on site, twice weekly.  </w:t>
            </w:r>
          </w:p>
          <w:p w:rsidR="00EB7645" w:rsidRPr="00BE00C7" w:rsidP="00BE00C7">
            <w:pPr>
              <w:pStyle w:val="OutcomeDescription"/>
              <w:spacing w:before="120" w:after="120"/>
              <w:rPr>
                <w:rFonts w:cs="Arial"/>
                <w:b w:val="0"/>
                <w:lang w:eastAsia="en-NZ"/>
              </w:rPr>
            </w:pPr>
            <w:r w:rsidRPr="00BE00C7">
              <w:rPr>
                <w:rFonts w:cs="Arial"/>
                <w:b w:val="0"/>
                <w:lang w:eastAsia="en-NZ"/>
              </w:rPr>
              <w:t>Gardens have been revamped and new furnishing have been purchased for the indoors, following feedback from the 2018 survey.</w:t>
            </w:r>
          </w:p>
          <w:p w:rsidR="00EB7645" w:rsidRPr="00BE00C7" w:rsidP="00BE00C7">
            <w:pPr>
              <w:pStyle w:val="OutcomeDescription"/>
              <w:spacing w:before="120" w:after="120"/>
              <w:rPr>
                <w:rFonts w:cs="Arial"/>
                <w:b w:val="0"/>
                <w:lang w:eastAsia="en-NZ"/>
              </w:rPr>
            </w:pPr>
            <w:r w:rsidRPr="00BE00C7">
              <w:rPr>
                <w:rFonts w:cs="Arial"/>
                <w:b w:val="0"/>
                <w:lang w:eastAsia="en-NZ"/>
              </w:rPr>
              <w:t>There is a regular in-service education and training programme for staff.  Policies and procedures meet current best practice and are readily available to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Evidence of communication with family/whānau is recorded on the family/whānau communication record, which is held in each resident’s file.  Fifteen accident/incident forms were reviewed from October 2019.  There is documented evidence of communication with family following an adverse event.  Relatives interviewed stated that they are kept informed when their family member’s health status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friends and family meetings that promote open communication.  An interpreter policy and contact details of interpreters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Winara Rest Home is a Bupa residential care facility.  The service provides care for up to 86 residents at hospital, rest home and dementia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82 residents.  There were 32 rest home residents, 29 hospital residents (seven in the rest home dual service beds and 22 in the hospital wing) and 21 dementia care residents.  There were three rest home level respite residents.  Two from the village as part of the village resident’s package of care as needed and one DHB funded respite.  All other residents were under the age-related contract.  </w:t>
            </w:r>
          </w:p>
          <w:p w:rsidR="00EB7645" w:rsidRPr="00BE00C7" w:rsidP="00BE00C7">
            <w:pPr>
              <w:pStyle w:val="OutcomeDescription"/>
              <w:spacing w:before="120" w:after="120"/>
              <w:rPr>
                <w:rFonts w:cs="Arial"/>
                <w:b w:val="0"/>
                <w:lang w:eastAsia="en-NZ"/>
              </w:rPr>
            </w:pPr>
            <w:r w:rsidRPr="00BE00C7">
              <w:rPr>
                <w:rFonts w:cs="Arial"/>
                <w:b w:val="0"/>
                <w:lang w:eastAsia="en-NZ"/>
              </w:rPr>
              <w:t>A vision, mission statement and objectives are in place.  Annual goals for the facility have been determined, which link to the overarching Bupa strategic plan.  The care home manager provides a weekly report to the Bupa operations manager and there are monthly teleconferences to monitor progress of quality goals.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annual goals that are reported quarterly.  The goals for 2019 include; to decrease falls across the whole facility.  This was a continued goal from last year.  To improve the dining experience and to continue to implement the kindness initiative.  Health and safety goals include a focus on the hazards and risk register and improve reviews of near miss incidents as a learning process.</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is a registered nurse, she also has management qualifications.  She has been with Bupa since 2007.  The care home manager is supported by a clinical manager.  Staff spoke positively about the support/direction and management of the current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has maintained over eight hours annually of professional development activities related to managing an aged care service, including; Bupa managers forums, attendance at an interRAI managers training and palliative care modules.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acting care home managers who cover the facility care home manager for absences over two weeks.  The clinical manager/registered nurse (RN) who supports the care home manager covers short periods of leave.  The operations manager, who visits regularly, supports both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Winara are implementing the Bupa quality and risk programme.  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at head office.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The monthly monitoring, collation and evaluation of quality and risk data includes (but is not limited to) resident falls, infection rates, complaints received, pressure injuries and wounds.  Quality data is entered into the organisational Riskman data base.  Quarterly reports are generated from the head office including trends and comparison with other Bupa sites.  The service develops corrective action plans for adverse trends and where high incidences of adverse events are evidenced.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internal audit schedule including environmental, support services and clinical audits was sighted for the service.  Audits had been completed as per schedule and where the result was less than expected corrective action plans had been developed and re-audits completed.  </w:t>
            </w:r>
          </w:p>
          <w:p w:rsidR="00EB7645" w:rsidRPr="00BE00C7" w:rsidP="00BE00C7">
            <w:pPr>
              <w:pStyle w:val="OutcomeDescription"/>
              <w:spacing w:before="120" w:after="120"/>
              <w:rPr>
                <w:rFonts w:cs="Arial"/>
                <w:b w:val="0"/>
                <w:lang w:eastAsia="en-NZ"/>
              </w:rPr>
            </w:pPr>
            <w:r w:rsidRPr="00BE00C7">
              <w:rPr>
                <w:rFonts w:cs="Arial"/>
                <w:b w:val="0"/>
                <w:lang w:eastAsia="en-NZ"/>
              </w:rPr>
              <w:t>Quality and risk data, and audit results are discussed in quarterly quality meetings, staff meetings and health and safety meetings.  Two monthly RN meetings document in-depth discussion of quality results, internal audits and clinically based issues.  Complaints discussion has not been well documented (link 1.1.13.3).</w:t>
            </w:r>
          </w:p>
          <w:p w:rsidR="00EB7645" w:rsidRPr="00BE00C7" w:rsidP="00BE00C7">
            <w:pPr>
              <w:pStyle w:val="OutcomeDescription"/>
              <w:spacing w:before="120" w:after="120"/>
              <w:rPr>
                <w:rFonts w:cs="Arial"/>
                <w:b w:val="0"/>
                <w:lang w:eastAsia="en-NZ"/>
              </w:rPr>
            </w:pPr>
            <w:r w:rsidRPr="00BE00C7">
              <w:rPr>
                <w:rFonts w:cs="Arial"/>
                <w:b w:val="0"/>
                <w:lang w:eastAsia="en-NZ"/>
              </w:rPr>
              <w:t>Annual surveys are completed with feedback analysed and corrective actions plan developed for areas identified for improvement.  The most recent survey documented overall satisfaction with services with responses rating 80% to 89% satisfied.  Relatives for the dementia unit documented that they have been 84% satisfied with the dementia unit and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 minutes evidence discussion regarding care, support, activities and meals as well as discussion around survey results and action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committee are representatives from each service area.  All policies and procedures meet the health and safety requirements.  There are national health and safety goals.  Staff interviewed stated they have the opportunity to provide input at the health and safety committee meetings.  Hazard management is discussed and there is a current hazard register in place.  Falls prevention strategies are managed on an individual basis and minimised.  Falls have remained stable in the dementia and hospital units and have documented a downward trend in the rest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reports are completed for each incident/accident onto the electronic Riskman data base.  Fifteen accident/incident forms for the month of October 2019 were reviewed.  Each event involving a resident reflected an initial clinical assessment by a registered nurse and follow-up action and corrective actions implemented and signed off.  Neurological observations have not always been documented according to Bupa policy (link 1.3.6.1).  The clinical manager reviews all incident forms daily when on duty to ensure follow-up and resident safety.  A monthly report is collated, and any trends identified and discussed and addressed through quality meetings and RN meetings.</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care home manager and clinical manager confirmed that there is an awareness of the requirement to notify relevant authorities in relation to essential notifications.  Notifications have included; Section 31s for two stage three pressure injuries and one for a missing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Nine staff files reviewed (one clinical manager, two registered nurses, one activities coordinator one cook and four caregivers) evidenced implementation of the recruitment process, employment contracts, completed orientation, at least eight hours attendance at training a year and annual performance appraisals.  A register of practising certificates including all health professionals involved in the service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in place that provides new staff with relevant information for safe work practice.  The orientation programme is developed specifically to worker type (eg, RN, support staff) and includes documented competencies.  The caregivers, when newly employed, complete an orientation booklet that has been aligned with foundation skills unit standards.  On completion of this orientation, they have effectively attained their level two-unit standards.  Eleven caregivers work in the dementia unit.  All eleven caregivers have completed dementia unit modules.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Opportunistic education is provided via toolbox talks.  Each education session has an information resource available, which staff complete if they are unable to attend.  Dementia specific training included the Bupa Person First training, managing behaviours that challenge and the aging process.  Education and training for clinical staff is linked to external education provided by the district health board.  Registered nurses are encouraged to complete their PDRP (professional development recognition programme).  Specific competencies are included according to the role such as medications, wound management, cardiopulmonary resuscitation and syringe driver for RNs.  Seven of thirteen registered nurses are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care home manager and the clinical manager are on duty Monday to Friday and on-call after hours.  Interviews with the residents and relatives confirmed staffing overall was satisfactory and increased to manage resident acuity and occupancy.  Staffing levels are as follows: </w:t>
            </w:r>
          </w:p>
          <w:p w:rsidR="00EB7645" w:rsidRPr="00BE00C7" w:rsidP="00BE00C7">
            <w:pPr>
              <w:pStyle w:val="OutcomeDescription"/>
              <w:spacing w:before="120" w:after="120"/>
              <w:rPr>
                <w:rFonts w:cs="Arial"/>
                <w:b w:val="0"/>
                <w:lang w:eastAsia="en-NZ"/>
              </w:rPr>
            </w:pPr>
            <w:r w:rsidRPr="00BE00C7">
              <w:rPr>
                <w:rFonts w:cs="Arial"/>
                <w:b w:val="0"/>
                <w:lang w:eastAsia="en-NZ"/>
              </w:rPr>
              <w:t>Hospital (22 residents at hospital level on the day of audit): morning shift - one RN, three caregivers on full shift and one short shift; afternoon shift – one RN, three caregivers on full afternoon and one short shift.  There is one caregiver and one RN at night.</w:t>
            </w:r>
          </w:p>
          <w:p w:rsidR="00EB7645" w:rsidRPr="00BE00C7" w:rsidP="00BE00C7">
            <w:pPr>
              <w:pStyle w:val="OutcomeDescription"/>
              <w:spacing w:before="120" w:after="120"/>
              <w:rPr>
                <w:rFonts w:cs="Arial"/>
                <w:b w:val="0"/>
                <w:lang w:eastAsia="en-NZ"/>
              </w:rPr>
            </w:pPr>
            <w:r w:rsidRPr="00BE00C7">
              <w:rPr>
                <w:rFonts w:cs="Arial"/>
                <w:b w:val="0"/>
                <w:lang w:eastAsia="en-NZ"/>
              </w:rPr>
              <w:t>Rest home (seven hospital level and 32 rest home level residents): one RN, two caregivers on full shift and two short shifts; afternoon shift – one RN, one caregiver on full shift and two short shifts.  There is one RN and one caregiver on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unit (21 residents on the day of audit); one RN morning and afternoon shifts; two full morning shift and two afternoon shift caregivers.  There is one full shift afternoon caregiver.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staff are allocated to the rest home, hospital and three for the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food services staff, cleaning and laundry staff seven days a week.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Residents’ files are protected from unauthorised access by being held securely.  Archived records are secure in separate locked and secure areas.</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demonstrated service integration.  Entries are legible, timed, dated and signed by the relevant caregiver or nurse, including designation.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Assessing agencies establish the appropriate level of care required prior to admission of a resident.  Residents/relatives receive an information pack outlining services able to be provided, the admission process and entry to the service, including admission into the dementia care unit.  The care home manager/registered nurse or clinical manager screens all potential residents prior to entry and records all admission enquires.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describes guidelines for death, discharge, transfer, documentation and follow-up.  A record of transfer documentation is kept on the resident’s file.  Residents who require admission to hospital or transfer are managed appropriately and relevant information is communicated to the receiving health provider or service.  The family are asked to accompany the transfer of dementia level of care resident’s to hospital if possible.  All supporting documentation accompanies residents to the receiving facility and communication with family is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Medications were stored safely in the three units.  Registered nurses or senior caregivers who administer medications have completed their annual competency assessment.  Medication education is provided annually.  The RNs check the robotic rolls on delivery against the electronic medication charts and signs a medication reconciliation checklist.  ‘As required’ medications are in individual resident bottles and checked regularly for expiry dates.  There were no self-medicating residents on the day of audit.  Medication fridge temperatures had been checked daily.  A bulk supply order is maintained for hospital level residents and is checked regularly for expiry dates and stock levels.  Eyedrops were dated on opening.  Oxygen and suction equipment is available in the hospital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management system.  Eighteen medication charts were reviewed (six rest home, six hospital and six dementia).  All charts reviewed had photo identification and allergy status identified.  All medication charts evidenced three monthly reviews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 required’ medication had indications prescribed for use.  Effectiveness of ‘as required’ medication administered was documented in the electronic medication system.   Anti-psychotic management plans are used for residents on antipsychotic medications.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prepared and cooked in a well-equipped kitchen adjacent to the rest home dining room.  The chef is supported by a team of cooks, morning and afternoon kitchenhands who have all completed food safety and hygiene training.  The four weekly winter and summer Bupa menu has been reviewed by a dietitian.  The menu offers an alternative option such as toasted sandwiches to accommodate dislikes/preferences.  Dietary requirements including pureed, vegetarian and diabetic desserts are provided.    The kitchen manager receives a nutritional profile for each resident and is notified of any changes to dietary requirements.  Daily menu resident lists are delivered to the kitchen.  The meals are served by cooks for residents in the rest home dining room.  Meals are delivered to the dementia unit in a bain marie and served by caregivers.  Meals are delivered in a hot box to the hospital unit kitchenette.  A kitchen assistant is based in the hospital unit and serves all meals, fluids and manages the satellite kitchen.  Lip plates are provided to encourage resident independence with eating.  Staff were observed to be sitting with residents and assisting them with meals and fluids.  There were nutritious snacks available 24 hours in the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has been verified.  The temperatures of refrigerators, freezers, chiller, incoming chilled goods and end cooked food temperatures are taken and recorded.  All food is stored appropriately, and date labelled.  The dishwasher wash and rinse temperatures are taken and recorded, and the dishwashers monitored monthly by the chemical provider.  Cleaning schedules are maintained.  Chemicals are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have the opportunity to feedback on the service through meetings and surveys.  Residents and the family members interviewed commented positively on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decision to potential residents/family/whānau and referring/assessment agency.  The reasons for declining entry would be if the service has no beds available or unable to meet the assessed level of care required.  Anyone declined entry would be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appropriate personal needs information is gathered during admission in consultation with the resident and their relative (as appropriate).  InterRAI assessments were completed for long-term resident files within the required timeframes.  An initial nursing assessment booklet including risk assessments (pressure injury risk, falls risk and pain), activities assessment and cultural assessments had been completed for all long-term resident files reviewed.  There was a short stay nursing assessment completed for the respite care resident.  Behaviour assessments were completed on admission for dementia care residents and reviewed six monthly or earlier if required.  The outcomes of assessments formed the basis of the long-term care plans.  Assessment process and the outcomes are communicated to staff at shift handovers through verbal and written shift reports.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reviewed were individualised and included the outcomes of interRAI assessments.  Supports were described in the care plans, however not all resident care plans documented interventions to meet the resident goals.  Outcomes of assessments were reflected in the care plans.  Behaviour management plans and dementia care plans were individualised for dementia residents which included triggers, behaviours and interventions including de-escalation strategies such as one-on-one time and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demonstrated service integration and evidence of allied health care professionals involved in the care of the resident such as mental health services for the older person team, psychogeriatrician, district nurse, wound nurse, podiatrist, dietitian, physiotherapist and podiatrist.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(as appropriate) and their family confirmed they were involved in the care planning process as evidenced in the family/whānau contact form and signature on the care plan.  Short-term care plans reviewed were in use for changes in health status such as pressure injury and wounds, post-operative care, unintentional weight loss and infections.  Short-term care plans were reviewed and resolved or added to the long-term care plan if an ongoing problem.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 condition changes the RN initiates a GP visit or nurse specialist referral.  The family is notified of any changes in the resident health status including incidents/accident, infections, GP visits and medication changes.  A record of relative notifications is maintained on the family/whānau contact form in the resident file.  Relatives interviewed confirmed they are kept informed and the needs of their relatives are being met.  Short-term care plans are used to guide staff in the delivery of care to meet for short-term/acute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continence products are available and resident files reviewed included a continence assessment and plan as part of the plan of care.  Specialist continence advice is available through the DHB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and wound dressings.  Wound assessments, wound management and evaluation forms were in place for 24 residents (across the three service levels) with wounds including skin tears, chronic wounds and leg ulcers.  Photos and/or documented sizes of wounds demonstrated healing.  There were four stage two pressure injuries (one community acquired, and three facility acquired) and one facility acquired stage one pressure injury.  Not all pressure injuries were linked to the resident care plan (link 1.3.5.2).  There were pressure injury interventions in place for residents at risk of pressure injuries and pressure prevention equipment was seen to be in use.  There is evidence of the district nurse and wound care nurse involved in wound care management.    </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are utilised to monitor residents state of wellbeing and the effectiveness of interventions.  There was a shortfall around the completion of neurological observations where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team of four activity coordinators and one diversional therapist (DT) who coordinate and implement activities in each of the units.  There is a five-day week programme in the rest home/dual purpose beds unit and a seven-day week programme in the hospital unit.  The activity coordinator for the dementia unit works Tuesday to Saturday with caregivers, incorporating activities as part of their role within the dementia unit.  There are plenty of resources available for staff and resident use.  There are volunteers involved in the rest home and dementia unit programmes.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unit has their own programme with activities that meet the physical, intellectual, emotional abilities of the resident group.  Activities offered within the units include a variety of exercises, quizzes, word games, arts and crafts, reminiscing, movies and sing-a-longs, walks, and gardening.  One-on-one time is spent with residents who are unable to participate in the programme or choose to stay in their rooms.  Each unit has weekly van outings.  The van has a wheelchair hoist.  Hospital level residents enjoy local scenic drives and picnics.  Rest home residents have outings into the community such as 10 pin bowling, visiting garden centres, attending the monthly senior citizens functions and arts and crafts events.  Outings for dementia care residents include scenic drives, lunch outings, visiting parks and beaches.  Festive occasions and themes are celebrated.  The ladies have high teas and there is a gentlemen’s club which has grown in membership over the last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entertainers, church services, pre-school children visit and fortnightly pet therapy.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 map of life (profile) and an activity assessment completed on admission.  Individual activity plans are incorporated in the long-term care plan which is evaluated six monthly at the MDT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and suggestions for the programme through resident meetings and direct feedback from residents and families.  Residents interviewed spoke positively about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initial care plans within three weeks of admission and long-term care plans six monthly.  The family/EPOA are invited to attend a multidisciplinary team meeting (MDT).  Members of the MDT include the GP, RN, care staff, DT/activity person, resident (as appropriate) and family member.  Allied health professionals involved in the resident’s care such as the physiotherapist, psychogeriatric community nurse or dietitian provide input into the MDT evaluation of care.  Records of the MDT meeting are maintained, and the cares evaluated against the resident goals.  Any changes following the MDT meeting are updated on the care plan (link 1.3.5.2).  The family/EPOA are informed of any changes if they have been unable to attend.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evaluated regularly and either resolved or added to the long-term care plan if the problem is ongoing, as sighted in resident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group of resident files reviewed.  The service facilitates access to other medical and non-medical services.  Referral documentation is maintained on resident files.  The RNs initiate nurse specialist referrals and specialist referrals are made through the GP.  The RNs interviewed provided an example of where a resident’s condition had changed, and the resident was reassessed from respite care to dementia level of care.  Discussion with the RNs identified that the service has access to a wide range of support either through the GP, DHB specialists and allied health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chemical/substance safety policy and waste management policy.  Chemicals are stored safely throughout the facility.  Safety data sheets are available.  Approved sharps containers are available and meet the hazardous substances regulations for containers.  Gloves, aprons, and goggles are available for staff at the point of use.  Staff were observed to be wearing appropriate personal protective clothing when carrying out their duties.  Staff have attended chemical safety education.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dual-purpose beds and dementia unit are within one main building.  The hospital building is connected to the main building by a covered walkway.  Both buildings have a current warrant of fitness.  A maintenance logbook is kept in the nurses’ station for the recording of maintenance requests.  The full-time maintenance person checks the maintenance log regularly throughout the day and signs off requests as they are completed.  Contractors for essential services are available 24/7.  Medical equipment including hoists and weigh scales have been calibrated.  Electrical equipment has been tested and tagged.  Hot water temperatures in resident areas are monitored monthly and maintained below 45 degrees Celsius.  The 52-week planned maintenance schedule has been completed and signed off for 2018, however there is no evidence the 52-week planner has been completed for 2019.  Residents rooms have been refurbished as they become vacant.  Furnishings have been recovered to brighten up the care home.  The gardens and grounds for the rest home and hospital area are being landscaped.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with handrails to promote safe mobility with the use of mobility aids and transferring equipment.  Residents were observed moving freely around the areas with mobility aids where required.  The external areas and garden landscaping have been well maintained.  There is outdoor furniture and seating and shaded areas.  There is wheelchair access to all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has a communal lounge with safe outdoor access to the courtyard and walking pathway.  The space and seating arrangements provide for individual and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that they have all the equipment referred to in care plans necessary to provide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have hand basins.  There is a mix of ensuite rooms and rooms with shared ensuites in the rest home/dual purpose unit and the hospital unit.  There are communal toilets and showers in the dementia care unit.  Toilets are also located near the communal areas.  There is appropriate signage, easy clean flooring and fixtures, and handrails appropriately placed.  Residents interviewed reported their privacy is maintained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single.  The dual-purpose beds in the rest home unit and hospital are spacious enough to easily manoeuvre transferring and mobility equipment to safely deliver care.  The bedrooms in the dementia care unit are spacious.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separate lounge and dining room in the rest home and a second lounge/library that has tea making facilities where quieter activities can take place or for visitors to use.  There are many seating alcoves within the rest home building.  The rest home gardens have been upgraded.  In the hospital there is a large spacious open plan lounge/dining room.  The communal lounge/dining room is accessible and accommodates the equipment required for the hospital residents.  Seating and space are arranged to allow both individual and group activities to occur.  There is a family room in the hospital 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space in the dementia unit to allow maximum freedom of movement while promoting safety for those that wander.  There is an open plan lounge and dining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and personal clothing are laundered on site.  The laundry is located in a basement area with a dumb waiter for the transport of linen to and from the laundry.  There is a defined clean/dirty area.  There are designated laundry and cleaning staff seven days a week.  There were adequate linen supplies sighted in the facility linen-store cupboards.  Cleaning trolleys were well equipped and stored safely when not in use.  The chemical provider monitors the effectiveness of the laundry and cleaning processes.  Staff have attended chemical safety and infection control education.  Residents and relatives interviewed were satisfied with the laundry and cleaning services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Fire drills are scheduled every six months.  There are emergency management plans in place to ensure health, civil defence and other emergencies are included.  A contracted service provides checking of all facility equipment including fire equipment.  Fire training and security situations are part of orientation of new staff. </w:t>
            </w:r>
          </w:p>
          <w:p w:rsidR="00EB7645" w:rsidRPr="00BE00C7" w:rsidP="00BE00C7">
            <w:pPr>
              <w:pStyle w:val="OutcomeDescription"/>
              <w:spacing w:before="120" w:after="120"/>
              <w:rPr>
                <w:rFonts w:cs="Arial"/>
                <w:b w:val="0"/>
                <w:lang w:eastAsia="en-NZ"/>
              </w:rPr>
            </w:pPr>
            <w:r w:rsidRPr="00BE00C7">
              <w:rPr>
                <w:rFonts w:cs="Arial"/>
                <w:b w:val="0"/>
                <w:lang w:eastAsia="en-NZ"/>
              </w:rPr>
              <w:t>There are supplies in the event of a civil defence emergency including food, blankets and gas cooking, but not enough stored water as per civil defence requirements.  A minimum of one person trained in first aid and cardiopulmonary resuscitation (CPR) is available at all times at the facility.  There are call bells in the residents’ rooms, and lounge/dining room areas.  Residents were observed to have their call bells in close proximity.  Security systems are in place to ensure residents are safe.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underfloor heating throughout the communal areas and ceiling heating in the bedrooms.  Residents and family interviewed, stated the temperature of the facility is comfortable.  There is plenty of natural light in residents’ rooms and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 informed about infection control practises and reporting.  The infection control coordinator (clinical manager) and two RNs are responsible for infection control across the facility.  The infection control committee and the Bupa governing body is responsible for the development and review of the infection control programme.  The infection control programme is well established.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Hand sanitisers are appropriately placed throughout the facility.  Visitors are asked not to visit if they are unwell.  Residents are offered the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Winara.  The infection control (IC) coordinator has maintained best practice by attending an infection control regional study day May 2019.  The infection control committee meet two monthly. </w:t>
            </w:r>
          </w:p>
          <w:p w:rsidR="00EB7645" w:rsidRPr="00BE00C7" w:rsidP="00BE00C7">
            <w:pPr>
              <w:pStyle w:val="OutcomeDescription"/>
              <w:spacing w:before="120" w:after="120"/>
              <w:rPr>
                <w:rFonts w:cs="Arial"/>
                <w:b w:val="0"/>
                <w:lang w:eastAsia="en-NZ"/>
              </w:rPr>
            </w:pPr>
            <w:r w:rsidRPr="00BE00C7">
              <w:rPr>
                <w:rFonts w:cs="Arial"/>
                <w:b w:val="0"/>
                <w:lang w:eastAsia="en-NZ"/>
              </w:rPr>
              <w:t>External resources and support are available through the Bupa quality and risk team, external specialists, microbiologist and DHB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completed an organisational two-day orientation to the role.  The infection control coordinator has access to the Bupa intranet with resources, guidelines best practice, education packages and group benchmarking.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education is expected to occur as part of the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w:t>
            </w:r>
          </w:p>
          <w:p w:rsidR="00EB7645" w:rsidRPr="00BE00C7" w:rsidP="00BE00C7">
            <w:pPr>
              <w:pStyle w:val="OutcomeDescription"/>
              <w:spacing w:before="120" w:after="120"/>
              <w:rPr>
                <w:rFonts w:cs="Arial"/>
                <w:b w:val="0"/>
                <w:lang w:eastAsia="en-NZ"/>
              </w:rPr>
            </w:pPr>
            <w:r w:rsidRPr="00BE00C7">
              <w:rPr>
                <w:rFonts w:cs="Arial"/>
                <w:b w:val="0"/>
                <w:lang w:eastAsia="en-NZ"/>
              </w:rPr>
              <w:t>Effective monitoring is the responsibility of the infection control coordinator.  This includes audits of the facility, hand hygiene and surveillance of infection control events and infections.  Surveillance data is available to all staff.  The infection control officer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Infections are entered into the Riskman electronic data base; infection incident rates and trends are reviewed monthly.  Corrective actions are established where trends are identified.  This was confirmed with a spike of urinary tract infections during October.  The spike had a corresponding action plan which had been evaluated and closed off and a subsequent reduction in urinary tract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confirmed norovirus outbreak in August 2019.  Public health was notified with ongoing correspondence during the outbreak period.  Case logs and outbreak documentation was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policy includes comprehensive restraint procedures.  There are clear guidelines in the policy to determine what a restraint is and what an enabler is.  The clinical manager is the restraint coordinator.  The restraint standards are being implemented and implementation is reviewed through internal audits, facility meetings, and through quarterly teleconference with Bupa restraint coordinators.  Staff receive education on restraint, dementia and challenging behaviours.  There was one resident using an enabler on the day of audit, bed rails to assist with moving in bed.  There were five residents requiring the use of restraint, this included two low beds and three hand holding restraint when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is completed for residents requiring an approved restraint for safety.  Assessments are undertaken by the RN in partnership with the GP, resident and their family/whānau.  Oversight is provided by the restraint coordinator.  Ongoing consultation with the resident and family/whānau are evident.  Four files for the residents using restraints were reviewed, this included one resident with a low bed and three requiring the intermittent use of hand holding restraint.  The completed assessments considered those listed in 2.2.2.1 (a) - (h).  One resident with an enabler also had a completed assessment signed by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resident, family and the GP.  The use of restraint was linked to the resident’s restraint care plan in all four resident files reviewed for residents with restraint.  The hand holding restraint including when to use and how long for.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restraint audit, conducted annually, monitors staff compliance in following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monitored at pre-determined intervals depending on individual risk to that resident.  Staff were completing the monitoring forms accurately.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scheduled three-monthly and frequently occur with greater frequency (eg, two monthly).   Restraint use is discussed in a range of meetings (restraint meetings and RN meetings) confirmed in the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Bupa restraint minimisation programme is discussed and reviewed at a national level and includes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10"/>
        <w:gridCol w:w="1280"/>
        <w:gridCol w:w="3500"/>
        <w:gridCol w:w="6144"/>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maintains a complaint register both electronically and paper based.  There was evidence that complaints had been followed up with toolbox talks, but a full investigation of a more serious complaint was not documented, and meetings did not document that staff had been informed regarding the specific complaint.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complaint regarding a resident leaving the secure unit had a follow-up toolbox talk around ensuring the door is closed and a section 31 notification.  It did not document a full investigation or any reflection on how the service could be improved.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Meeting minutes did not document that the complaints had been communicated and discussed with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complaints are reported to the relevant service meetings.</w:t>
            </w:r>
          </w:p>
          <w:p w:rsidR="00EB7645" w:rsidRPr="00BE00C7" w:rsidP="00BE00C7">
            <w:pPr>
              <w:pStyle w:val="OutcomeDescription"/>
              <w:spacing w:before="120" w:after="120"/>
              <w:rPr>
                <w:rFonts w:cs="Arial"/>
                <w:b w:val="0"/>
                <w:lang w:eastAsia="en-NZ"/>
              </w:rPr>
            </w:pPr>
            <w:r w:rsidRPr="00BE00C7">
              <w:rPr>
                <w:rFonts w:cs="Arial"/>
                <w:b w:val="0"/>
                <w:lang w:eastAsia="en-NZ"/>
              </w:rPr>
              <w:t>(ii).  Ensure that complaints document a full investigation and, when needed, an analysis of causes and how to improve services.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Supports around the resident activities of daily living, mobility, elimination, medical conditions, skin care, nutrition were described in the care plans; however, not all resident care plans documented interventions to meet the resident goals.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were no documented interventions for two residents (one hospital and one dementia care) for new pain identified requiring GP involvement and analgesia; (ii) There were no documented interventions for one dementia care resident with a risk of absconding; (iii) There were no documented interventions to reflect one dementia care residents unintentional weight loss; (iv) There were no early warning signs documented in the care plan for one dementia care resident recently discharged from the mental health unit, and (v) The care plans for two rest home residents did not identify the presence of facility acquired pressure injuries.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(i)-(v) Ensure care plans reflect the current health status of residents and describe the supports required to meet the resident goals.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Monitoring forms reviewed included (but not limited to) two hourly turning charts, nutritional records, fluid balance charts, bowel records, weekly/monthly weight, blood sugar levels, vital signs and behaviour charts, pain monitoring; however, there was a shortfall around neurological observations for unwitnessed falls or where there was an obvious knock to the head.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Neurological observations had not been completed as per protocol for four of eight incident/accidents that required neurological observations.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neurological observations are completed as per protocol for unwitnessed falls and where there has been an obvious knock to the head.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Both buildings have a current building warrant of fitness.  Reactive maintenance is completed as requested.  Planned maintenance including testing and tagging of equipment, calibration of resident related equipment and monitoring of resident hot water temperatures but the 52-week planned maintenance schedule had not been completed for 2019.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52-week planned maintenance schedule had been completed and signed off for 2018, but there was no documented evidence the 52-week maintenance schedule had been completed for 2019.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52-week planned maintenance schedule is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1.4.7.4</w:t>
            </w:r>
          </w:p>
          <w:p w:rsidR="00EB7645" w:rsidRPr="00BE00C7" w:rsidP="00BE00C7">
            <w:pPr>
              <w:pStyle w:val="OutcomeDescription"/>
              <w:spacing w:before="120" w:after="120"/>
              <w:rPr>
                <w:rFonts w:cs="Arial"/>
                <w:b w:val="0"/>
                <w:lang w:eastAsia="en-NZ"/>
              </w:rPr>
            </w:pPr>
            <w:r w:rsidRPr="00BE00C7">
              <w:rPr>
                <w:rFonts w:cs="Arial"/>
                <w:b w:val="0"/>
                <w:lang w:eastAsia="en-NZ"/>
              </w:rPr>
              <w:t>Alternative energy and utility sources are available in the event of the main supplies failing.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civil emergency plan and a range of civil emergency stores.  This includes; food for at least three days, blankets, torches, gas burners, barbeques, bags, hammers as examples.  There is not sufficient water and civil defence kits have not been checked for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1000 litres of water stored; this is not equivalent to the 20 litres per person per day for seven days as per the DHB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 civil defence stores have not been checked for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sufficient water is stored that meets the DHB water storage requirements for the Wellington region.</w:t>
            </w:r>
          </w:p>
          <w:p w:rsidR="00EB7645" w:rsidRPr="00BE00C7" w:rsidP="00BE00C7">
            <w:pPr>
              <w:pStyle w:val="OutcomeDescription"/>
              <w:spacing w:before="120" w:after="120"/>
              <w:rPr>
                <w:rFonts w:cs="Arial"/>
                <w:b w:val="0"/>
                <w:lang w:eastAsia="en-NZ"/>
              </w:rPr>
            </w:pPr>
            <w:r w:rsidRPr="00BE00C7">
              <w:rPr>
                <w:rFonts w:cs="Arial"/>
                <w:b w:val="0"/>
                <w:lang w:eastAsia="en-NZ"/>
              </w:rPr>
              <w:t>Ensure that civil defence stores are checked as per Bupa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100"/>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have the opportunity to feedback on the service through meetings and surveys.  Residents and the family members interviewed confirmed there has been an improvement in the meals provided.  Annual survey results demonstrate an improved resident satisfaction in the meal service.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action plan was developed in June 2019 to improve the meals and dining experience.  Changes to the menu and dining experience were in consultation with the recently appointed chef, residents and staff.  Improvements to date included a choice of condiments on tables, rotation of tables to be served first, ensuring meals are at acceptable temperatures, photos of meals in menu plan and a comments book available in the dining rooms.  The chef receives feedback and suggestions from resident meetings and implements these in consultation with the care home manager.  The 2018 annual survey for food satisfaction was 76% and in July 2019 survey results were 82% which was above the Bupa average for food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Gentleman’s club commenced in 2017 as a way of providing companionship and friendships for male residents in the care home.  Due to an increasing number of men in the care home the club venue was changed to the apartments.  The group is open to men from across the service levels and several men attend from the apartments.  Group numbers over 2019 (excluding men from the apartments) average 13 – 17 residents from across the rest home, hospital and dementia unit.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Gentleman’s group started with a small group of men getting together to reminisce and share stories over a beer and snack.  Due to the increasing number of men joining the group the venue was changed to an apartment lounge.  This gave the men privacy to engage in their social activities.  The group of men from the rest home, hospital and dementia care invited male residents in the apartments to join in.  The residents in the apartments found they were able to support other male residents who had moved into the care home.  Male care home residents looked forward to the monthly group and catching up with other men with whom they had developed friendships.  The male activity coordinator facilitates the group and ensure introductions are made.  The men lead the discussion and activities such as barbeques and storytelling over drinks and snacks.  Men interviewed described the group as a positive experience that they looked forward to.  An auditor observed the Gentlemen’s group in action on the day of audit and confirmed the group enjoyment was obvious with much socialisation and singing with a beer and snacks.  Photos and comments were in display books in the hospital wing.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Winara Rest Home</w:t>
    </w:r>
    <w:bookmarkEnd w:id="58"/>
    <w:r>
      <w:rPr>
        <w:rFonts w:cs="Arial"/>
        <w:sz w:val="16"/>
        <w:szCs w:val="20"/>
      </w:rPr>
      <w:tab/>
      <w:t xml:space="preserve">Date of Audit: </w:t>
    </w:r>
    <w:bookmarkStart w:id="59" w:name="AuditStartDate1"/>
    <w:r>
      <w:rPr>
        <w:rFonts w:cs="Arial"/>
        <w:sz w:val="16"/>
        <w:szCs w:val="20"/>
      </w:rPr>
      <w:t>21 November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