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Elms Court Lifecare Limited - Maidstone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Elms Court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Elms Court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November 2019</w:t>
      </w:r>
      <w:bookmarkEnd w:id="7"/>
      <w:r w:rsidRPr="009418D4">
        <w:rPr>
          <w:rFonts w:cs="Arial"/>
        </w:rPr>
        <w:tab/>
        <w:t xml:space="preserve">End date: </w:t>
      </w:r>
      <w:bookmarkStart w:id="8" w:name="AuditEndDate"/>
      <w:r w:rsidR="00A4268A">
        <w:rPr>
          <w:rFonts w:cs="Arial"/>
        </w:rPr>
        <w:t>7 November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Elms Court Lifecare has been privately owned and operated since January 2019.  The service provides care for up to 32 rest home and hospital (geriatric and medical) level care residents.  At the time of the audit there were 31 residents in total.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  </w:t>
      </w:r>
    </w:p>
    <w:p w:rsidRPr="00A4268A">
      <w:pPr>
        <w:spacing w:before="240" w:line="276" w:lineRule="auto"/>
        <w:rPr>
          <w:rFonts w:eastAsia="Calibri"/>
        </w:rPr>
      </w:pPr>
      <w:r w:rsidRPr="00A4268A">
        <w:rPr>
          <w:rFonts w:eastAsia="Calibri"/>
        </w:rPr>
        <w:t xml:space="preserve">The owner/manager operates another rest home facility in the area.  He is supported by an experienced clinical manager and stable workforce.  Residents and relatives interviewed were complimentary about the care and services provided under the new ownership.   </w:t>
      </w:r>
    </w:p>
    <w:p w:rsidRPr="00A4268A">
      <w:pPr>
        <w:spacing w:before="240" w:line="276" w:lineRule="auto"/>
        <w:rPr>
          <w:rFonts w:eastAsia="Calibri"/>
        </w:rPr>
      </w:pPr>
      <w:r w:rsidRPr="00A4268A">
        <w:rPr>
          <w:rFonts w:eastAsia="Calibri"/>
        </w:rPr>
        <w:t xml:space="preserve">This certification audit identified an area for improvement around service delivery documentation. </w:t>
      </w:r>
    </w:p>
    <w:p w:rsidRPr="00A4268A">
      <w:pPr>
        <w:spacing w:before="240" w:line="276" w:lineRule="auto"/>
        <w:rPr>
          <w:rFonts w:eastAsia="Calibri"/>
        </w:rPr>
      </w:pPr>
      <w:r w:rsidRPr="00A4268A">
        <w:rPr>
          <w:rFonts w:eastAsia="Calibri"/>
        </w:rPr>
        <w:t xml:space="preserve">The service has achieved continuous improvement ratings for good practice and reduction in urinary tract infections.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Information about the services provided is readily available to residents and families/whānau.  The Health and Disability Commissioner (HDC) Code of Health and Disability Services Consumers' Rights (the Code) is available in the information presented to residents and their families during entry to the service.  Policies are implemented to support rights such as privacy, dignity, abuse and neglect, culture, values and beliefs, complaints, advocacy and informed consent.  Care planning accommodates individual choices of residents and/or their family/whānau.  Informed consent processes are adhered to.  Residents are encouraged to maintain links with their community.  Complaints processes are implemented, and complaints and concerns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Quality and risk management processes are established.  Quality goals are documented for the service.  A risk management programme is in place, which includes a risk management plan, incident and accident reporting, and health and safety processes.  Adverse, unplanned and untoward events are documented by staff.  The health and safety programme meet current legislative requirements. </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and regular staff education and training are in place.  The owner/manager is supported by a clinical manager who is a registered nurse and is on site five days a week and is on call when not on site.  They are supported by a team of RNs and care partners.  </w:t>
      </w:r>
    </w:p>
    <w:p w:rsidRPr="00A4268A">
      <w:pPr>
        <w:spacing w:before="240" w:line="276" w:lineRule="auto"/>
        <w:rPr>
          <w:rFonts w:eastAsia="Calibri"/>
        </w:rPr>
      </w:pPr>
      <w:r w:rsidRPr="00A4268A">
        <w:rPr>
          <w:rFonts w:eastAsia="Calibri"/>
        </w:rPr>
        <w:t xml:space="preserve">There are adequate numbers of staff on duty to ensure residents are safe.  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has assessment processes and residents’ needs are assessed prior to entry.  There is an admission pack available for residents and families/whānau at entry.  Registered nurses are responsible for all stages of service provision.  Assessments, resident care plans, and evaluations were completed by the registered nurses within the required timeframes.  Risk assessment tools and monitoring forms were available and implemented.  Resident care plans were individualised and included allied health professional involvement in resident care.  </w:t>
      </w:r>
    </w:p>
    <w:p w:rsidRPr="00A4268A" w:rsidP="00621629">
      <w:pPr>
        <w:spacing w:before="240" w:line="276" w:lineRule="auto"/>
        <w:rPr>
          <w:rFonts w:eastAsia="Calibri"/>
        </w:rPr>
      </w:pPr>
      <w:r w:rsidRPr="00A4268A">
        <w:rPr>
          <w:rFonts w:eastAsia="Calibri"/>
        </w:rPr>
        <w:t xml:space="preserve">The lifestyle coordinator implements the activity programme to meet the individual needs, preferences and abilities of the residents.  Community links are maintained.  There are a variety of activities that are meaningful to the residents.  </w:t>
      </w:r>
    </w:p>
    <w:p w:rsidRPr="00A4268A" w:rsidP="00621629">
      <w:pPr>
        <w:spacing w:before="240" w:line="276" w:lineRule="auto"/>
        <w:rPr>
          <w:rFonts w:eastAsia="Calibri"/>
        </w:rPr>
      </w:pPr>
      <w:r w:rsidRPr="00A4268A">
        <w:rPr>
          <w:rFonts w:eastAsia="Calibri"/>
        </w:rPr>
        <w:t xml:space="preserve">There are medicine management policies in place that meet legislative requirements.  Staff responsible for the administration of medications complete annual medication competencies and education.  Electronic medication charts have photo identification and allergy status noted.  Medication charts are reviewed three monthly by the general practitioner.  </w:t>
      </w:r>
    </w:p>
    <w:p w:rsidRPr="00A4268A" w:rsidP="00621629">
      <w:pPr>
        <w:spacing w:before="240" w:line="276" w:lineRule="auto"/>
        <w:rPr>
          <w:rFonts w:eastAsia="Calibri"/>
        </w:rPr>
      </w:pPr>
      <w:r w:rsidRPr="00A4268A">
        <w:rPr>
          <w:rFonts w:eastAsia="Calibri"/>
        </w:rPr>
        <w:t xml:space="preserve">All food and baking is done on site.  The menu has been reviewed by a dietitian.  Resident's individual dietary needs were identified and accommodated.  Staff have attended food safety and hygiene training.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were documented processes for the management of waste and hazardous substances in place, and incidents are reported in a timely manner.  Chemicals were stored safely throughout the facility.  The building has a current warrant of fitness.  Resident rooms and communal bathroom facilities are spacious.  There is plenty of natural light in all rooms and the environment is comfortable with adequate ventilation and heating.  All communal areas within the facility are easily accessible.  The outdoor areas are safe and easily accessible and provide seating and shade.  The service has implemented policies and procedures for civil defence and other emergencies and six-monthly fire drills are conducted.  There is one person on duty at all times with a current first aid certificate.  Laundry services are completed on site.  Staff maintain a clean and tidy environment.  Documented policies and procedures for the cleaning and laundry services are implemented with monitoring systems in place to evaluate the effectiveness of these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During the audit there was one resident using an enabler and no restraints were in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registered nurse is the infection control coordinator.  A suite of infection control policies and guidelines meet infection control standards.  Staff receive annual infection control education.  Surveillance data is collected and collated.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81"/>
        <w:gridCol w:w="1280"/>
        <w:gridCol w:w="102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is available in the information presented to residents and their families during entry to the service.  Policy relating to the Code is implemented.  The facility manager/owner, the clinical manager, two RNs, the activity person and three care partners interviewed could describe how the Code is incorporated into their everyday delivery of care.  Other staff, including: the cook, a kitchen assistant, and the maintenance person were also able to describe the Code of Rights.  Staff receive training about the Code during their induction to the service, which continues through the staff education and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informed consent policy is implemented.  Systems are in place to ensure residents, and where appropriate their family/whānau, are provided with appropriate information to make informed choices and informed decisions.  Six resident files (four hospital including one resident on an end of life contract and one resident under ACC funding and two rest home residents including one under a serious medical illness contract) were reviewed and included signed general consents.  The care staff interviewed demonstrated a good understanding in relation to informed consent and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where available, are acted upon.  Resuscitation status were signed appropriately.  Family members interviewed stated they were consulted in decisions that affected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have been made aware of and fully understand informed consent processes and that appropriate information had been provided.  The resident files reviewed had signed admission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Health and Disability Commissioner (HDC) advocacy details are included in the information provided to new residents and their family/whānau during their entry to the service.  Residents and family interviewed were aware of the role of advocacy services and their right to access support.  Staff receive regular education and training on the role of advocacy services, which begins during their induction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Residents may have visitors of their choice at any time.  The service encourages residents to maintain their relationships with friends and community groups.  Assistance is provided by the care staff to ensure that the residents participate in as much as they can safely and desire to do, evidenced through interviews and observations.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families during the resident’s entry to the service.  Access to complaints forms are located at the entrance to the facility.  The complaints process is linked to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A record of complaints received is maintained by the owner/manager.  Nine complaints have been lodged in 2019 (year-to-date) and were reviewed.  Complaints are being managed in accordance with HDC guidelines.  Two complaints were lodged through the DHB; one around the care of one resident and one around the use of premium rooms.  Both complaints have been fully resolved.  Complaints follow-up was noted to be very well documented and discussed in the quality meetings.</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families/whānau confirmed that they were provided with information on the complaints process and remarked that any concerns or issues they had were addressed promptly.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HDC advocacy service are included in the resident information that is provided to new residents and their families.  The owner/manager, the clinical manager or an RN discusses aspects of the Code with residents and their family on admission.  All five residents interviewed (three hospital and two rest home) and six family members interviewed (two rest home and four hospital), reported that the residents’ rights were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personal belongings are used to decorate their rooms.  The care partners interviewed reported that they knock on bedroom doors prior to entering rooms, ensure doors are shut when care is being provided and do not hold personal discussions in public areas.  They reported that they promote the residents' independence by encouraging them to be as active as possible.  Residents and families interviewed and observations during the audit confirmed that the residents’ privacy is respected. </w:t>
            </w:r>
          </w:p>
          <w:p w:rsidR="00EB7645" w:rsidRPr="00BE00C7" w:rsidP="00BE00C7">
            <w:pPr>
              <w:pStyle w:val="OutcomeDescription"/>
              <w:spacing w:before="120" w:after="120"/>
              <w:rPr>
                <w:rFonts w:cs="Arial"/>
                <w:b w:val="0"/>
                <w:lang w:eastAsia="en-NZ"/>
              </w:rPr>
            </w:pPr>
            <w:r w:rsidRPr="00BE00C7">
              <w:rPr>
                <w:rFonts w:cs="Arial"/>
                <w:b w:val="0"/>
                <w:lang w:eastAsia="en-NZ"/>
              </w:rPr>
              <w:t>Guidelines on abuse and neglect are documented in policy.  Staff receive education and training on abuse and neglect as part of the services training days each year (last provided October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Māori health policy is documented for the service.  The care staff interviewed reported that they value and encourage active participation and input from the family/whānau in the day-to-day care of the residents.  There were no residents living at the facility who identified as Māori.  The service is able to access cultural assistance through the DHB if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on cultural awareness begins during the new employee’s induction to the service and continues as an annual training topic.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desires from the time of admission.  This is achieved in collaboration with the resident, family and/or their representative.  Beliefs and values are discussed and incorporated into the residents’ care plans, evidenced in all six care plans reviewed.  Residents and family interviewed confirmed they were involved in developing the resident’s plan of care, which included the identification of individual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induction to the service.  Professional boundaries are described in job descriptions and as part of the staff code of conduct.  Interviews with the care staff confirmed their understanding of professional boundaries including the boundaries of the care partners’ role and responsibilities.  Professional boundaries are reconfirmed through education and training,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and clinical manager are on site five days a week and are supported by a team of RNs.  Residents are reviewed by a general practitioner (GP) every three months at a minimum.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two-monthly.  Residents and family interviewed reported that they are very satisfied with the services received.  This was also confirmed in the 2019 resident/family satisfaction survey.</w:t>
            </w:r>
          </w:p>
          <w:p w:rsidR="00EB7645" w:rsidRPr="00BE00C7" w:rsidP="00BE00C7">
            <w:pPr>
              <w:pStyle w:val="OutcomeDescription"/>
              <w:spacing w:before="120" w:after="120"/>
              <w:rPr>
                <w:rFonts w:cs="Arial"/>
                <w:b w:val="0"/>
                <w:lang w:eastAsia="en-NZ"/>
              </w:rPr>
            </w:pPr>
            <w:r w:rsidRPr="00BE00C7">
              <w:rPr>
                <w:rFonts w:cs="Arial"/>
                <w:b w:val="0"/>
                <w:lang w:eastAsia="en-NZ"/>
              </w:rPr>
              <w:t>Physiotherapy services are provided two hours a fortnight and as needed and a physiotherapy assistant (employed) is on site three days a week.  A podiatrist visits the facility every six weeks.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environment allows for close relationships between the staff and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specific improvements have included the reduction of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around open disclosure which is based on the principle that residents and their families have a right to know what has happened to them and to be fully informed at all times.  The care staff interviewed understood about open disclosure and providing appropriate information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interviewed confirmed they are kept informed of the resident’s status, including any events adversely affecting the resident.  Twelve accident/incident forms reviewed reflected documented evidence of families being informed following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service is available and accessible if required through the district health board.  There were no residents at the facility who were unable to speak or understand basic English.  One family assisted with one resident for more in-depth conversations such as with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Elms Court Lifecare provides rest home and hospital (geriatric and medical) levels of care for up to 32 residents.  On the day of the audit there were 31 residents.  This included: 13 residents at rest home level care including one resident funded though severe medical condition (SMI) contract.  There were also 18 residents at hospital level care including one on an end of life contract and one ACC.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philosophy, mission, vision and values are in place.  The business plan (2019) was reviewed in May by the manager/owner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manager/owner has owned the service since the beginning of 2019.  He has over eight years’ experience of owning and managing healthcare services including a sister facility he also owns; this facility has a separate manager.  He has maintained a minimum of eight hours of professional development per year relating to the management of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clinical manager who is responsible for clinical operations and undertakes the overall management in the absence of the facility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and risk management system is understood and being implemented as confirmed during interviews with the owner/manager and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align with current good practice and meet legislative requirements.  Policies have been reviewed, modified (where appropriate) and implemented.  Reviews take place two yearly or when policies are updated.  A document review schedule is in place.  New policies are discussed with staff.   </w:t>
            </w:r>
          </w:p>
          <w:p w:rsidR="00EB7645" w:rsidRPr="00BE00C7" w:rsidP="00BE00C7">
            <w:pPr>
              <w:pStyle w:val="OutcomeDescription"/>
              <w:spacing w:before="120" w:after="120"/>
              <w:rPr>
                <w:rFonts w:cs="Arial"/>
                <w:b w:val="0"/>
                <w:lang w:eastAsia="en-NZ"/>
              </w:rPr>
            </w:pPr>
            <w:r w:rsidRPr="00BE00C7">
              <w:rPr>
                <w:rFonts w:cs="Arial"/>
                <w:b w:val="0"/>
                <w:lang w:eastAsia="en-NZ"/>
              </w:rPr>
              <w:t>Quality management systems are linked to internal audits, incident and accident reporting, health and safety reporting, infection control data collection and complaints management.  Data is collected for a range of adverse event data (eg, skin tears, falls, infections) and is collated and analysed.  An internal audit programme is being implemented.  Quality data and outcomes are discussed with staff in the two monthly staff and quality meetings.  Two monthly resident meetings are completed and also open to families to attend.</w:t>
            </w:r>
          </w:p>
          <w:p w:rsidR="00EB7645" w:rsidRPr="00BE00C7" w:rsidP="00BE00C7">
            <w:pPr>
              <w:pStyle w:val="OutcomeDescription"/>
              <w:spacing w:before="120" w:after="120"/>
              <w:rPr>
                <w:rFonts w:cs="Arial"/>
                <w:b w:val="0"/>
                <w:lang w:eastAsia="en-NZ"/>
              </w:rPr>
            </w:pPr>
            <w:r w:rsidRPr="00BE00C7">
              <w:rPr>
                <w:rFonts w:cs="Arial"/>
                <w:b w:val="0"/>
                <w:lang w:eastAsia="en-NZ"/>
              </w:rPr>
              <w:t>A risk management plan is in place.  Health and safety policies reflect current legislative requirements.  Actual and potential risks are documented on a hazard register, which identifies risk ratings and documents actions to eliminate or minimise each risk.  A plan is implemented to orientate contractors to the facility’s health and safety programme.</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the development of specific falls management plans to meet the needs of each resident who is at risk of falling.  This includes (but is not limited to) sensor mats, specialised care plans and additional training for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Individual reports are completed for each incident/accident with immediate action noted and any follow-up action(s) required.  Incident/accident data is linked to the service’s quality and risk management programme.  Twelve accident/incident forms were reviewed.  Each event involving a resident reflected a clinical assessment and follow-up by an RN.  Neurological observations are not always conducted for suspected head injuries (link 1.3.6.1).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aware of statutory responsibilities in regard to essential notification with no essential notification required since the new owner purchased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are in place, including recruitment, selection, orientation and staff training and development.  Six staff files reviewed (three care partners, two RNs, one activities person and the clinical manager) included evidence of the recruitment process, including reference checking, signed employment contracts and job descriptions, and completed orientation programmes.  The orientation programme provides new staff with relevant information for safe work practice.  Staff interviewed stated that new staff were adequately orientated to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education and training programme is provided for staff that meets contractual obligations.  In-service training is offered to staff in two blocks each year.  Each block is repeated twice to enable as many staff as possible to attend.  Education documentation reviewed, included all compulsory subjects and had a high attendance rate (100% of staff).  Additional training was evidenced though meetings and ad hoc training.  </w:t>
            </w:r>
          </w:p>
          <w:p w:rsidR="00EB7645" w:rsidRPr="00BE00C7" w:rsidP="00BE00C7">
            <w:pPr>
              <w:pStyle w:val="OutcomeDescription"/>
              <w:spacing w:before="120" w:after="120"/>
              <w:rPr>
                <w:rFonts w:cs="Arial"/>
                <w:b w:val="0"/>
                <w:lang w:eastAsia="en-NZ"/>
              </w:rPr>
            </w:pPr>
            <w:r w:rsidRPr="00BE00C7">
              <w:rPr>
                <w:rFonts w:cs="Arial"/>
                <w:b w:val="0"/>
                <w:lang w:eastAsia="en-NZ"/>
              </w:rPr>
              <w:t>Competencies are completed specific to worker type and include medication competencies annually.  A register of current practising certificates for health professionals is maintained.  Eight of nine RNs, including the clinical manager, have completed their interRAI training.  Registered nurses and caregivers have received ongoing training that relates to the provision of hospital (medical) level of care including palliative care, falls management and manual handling techniques.  Training records demonstrated that when a resident is admitted with a care need that is not familiar to staff, immediate training is given in brief form, prior to or at the time of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staffing policy aligns with contractual requirements.  The owner/manager and clinical manager are on site five days a week and available on-call.  Care partners interviewed stated that the management and registered nurses were very supportive and available to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audit there were 31 residents (13 rest home and 18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RN on duty for each shift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For care partners the staffing is: AM - two long shifts and two short shifts.  PM - three long shifts and one care partner at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lifestyle coordinator is rostered five days a week.  There is also a physiotherapy assistant Monday to Wednesday.  There are housekeeping and kitchen staff.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families confirmed staffing overall was satisfactory.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An initial support plan is also developed in this time.  Personal resident information is kept confidential and cannot be viewed by other residents or members of the public.  Archived records are secure in a separate locked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demonstrated service integration.  Entries were legible, dated, timed and signed by the relevant care partner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Residents receive an information pack outlining services provided, the admission process and entry to the service.  The clinical manager screens all potential residents prior to entry to ensure the service can meet the assessed needs of the resident.  Six admission agreements reviewed aligned with the requirements of the ARRC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are coordinated in collaboration with the resident and family to ensure continuity of care.  There are documented policies and procedures to ensure exit, discharge or transfer of residents is undertaken in a timely and safe manner.  A transfer form accompanies residents to receiving facilities.  The residents and their families are involved for all exits or discharges to and from the service.  The clinical manager and RNs interviewed were knowledgeable in the transfer/discharge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Registered nurses and level four care partners administer medications.  Medication education and medication competencies have been completed annually.  All medications are stored safely.  The service uses a four-weekly robotic roll system for regular medications and blister packs for ‘as required’ medications.  All medications delivered are checked against the electronic medication charts and recorded in the resident medication chart when checked in.  There were no self-medicating residents on the day of audit.  The medication fridge is monitored daily and maintained within the acceptable temperature range.  The medication room air temperatures are taken and recorded daily.  All eye drops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medication charts on the electronic and one paper-based hospital script reviewed met legislative requirements.  All residents have individual medication orders with photo identification and allergy status documented.  Medications had been signed as administered in line with prescription charts.  Medication administration was observed to be compliant with policy and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food services policy and procedure manual.  The food control plan expires 18 February 2020.  Food services staff have completed food safety and hygiene training.  All meals are cooked on site by cooks who are supported by morning and afternoon kitchenhands.  The four weekly seasonal menu has been reviewed by a dietitian October 2018.  The cook receives a dietary profile for each resident and is informed of any changes in dietary requirements.  Resident dislikes and food allergies are accommodated.  Soft/pureed meals and vegan diets are provided.  Meals are held in a bain marie until served to residents in the adjacent dining room.  Meals to residents in rooms are plated and kept hot with insulated lids.  Specialised utensils and lip plates are available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Perishable foods in the chiller and refrigerators are date-labelled and stored correctly.  Fridge and freezer temperatures are monitored and recorded.  End cooked temperatures are taken and recorded on all meals.  Chilled inward goods have temperatures recorded on delivery.  The chemical provider checks the dishwasher for effectiveness.  Chemicals are stored safely in the kitchen.  The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the opportunity to feedback on food services through resident meetings and surveys.  Residents and family interviewed were complimentary about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potential residents should this occur and communicates this to potential residents/family/whānau.  The reasons for declining entry would be if the service is unable to provide the assessed level of care or there are no beds available.  Potential residents would be referred to the referring agency if entry were declined.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assessments and risk assessments were completed on admission for all resident files reviewed including the resident on end of life contract.  InterRAI assessments were completed within expected timeframes for long-term residents including the resident under ACC and the resident under SMI.  The outcomes of the interRAI assessment and risk assessments were reflected in the long-term care plans reviewed.  The end of life resident had an initial assessment and did not require a long-term care plan.  Additional assessment for falls, pressure injury prevention, nutrition, pain, continence, behaviour, wound care and behaviour were utilised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for long-term residents (including the ACC and SMI resident) described the individual support and interventions required to meet the resident goals.  Initial care plans were developed on admission in all resident files reviewed.  The long-term care plans reflected the outcomes of risk assessment tools and the interRAI assessment.  Short-term care plans were in use for changes in health status.  These are evaluated regularly and either resolved, or if an ongoing problem, added to the long-term care plan.  Residents/relatives interviewed confirmed they participate in the care planning process.  Care plans demonstrated service integration and included input from allied health practitioners.  There was evidence of service integration with documented input from a range of specialist care professionals including the physiotherapist, adult rehabilitation service, ACC, older person health services, dietitian and podiatrist.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a GP review.  There is documented evidence on the family contact forms in each resident file, that family members were notified of any changes to their relative’s health including (but not limited to) accident/incidents, infections, health professional visits and changes in medications.  The RNs interviewed can initiate referrals to specialists such as speech and language therapists, wound care specialists, and the Nurse Maude service.  The GP initiates medical referrals.  One resident with behaviours of concern did not have de-escalation techniques included in the care plan.  Family members interviewed confirmed care delivery and support by staff is consistent with their expectations.  There is a support worker who spends one-on-one time daily with the SMI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management policies and procedures are in place.  A wound assessment and short-term care plan and wound dressing application record and evaluations were in place for 10 wounds (skin tears, lesions and two surgical wounds).  Wounds had been evaluated at the documented frequency.  There were two facility acquired stage two pressure injuries and one stage two community acquired pressure injury on the day of audit.  There was adequate pressure relieving equipment available and staff had received education around the prevention of pressure injuries.  The GP reviews all wounds and the Nurse Maude wound specialist is available for support and advice.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and continence products are available.  The residents’ files included a urinary continence assessment, bowel management plan, and continence products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food and fluids, pain, enabler monitoring and challenging behaviours, however neurological observations had not been completed for all unwitnessed falls.  The electronic medication system is well utilised for the recording of weights, blood pressure, vital signs blood glucose and the GP notes are also entered into the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lifestyle coordinator who is currently progressing through the diversional therapy qualifications.  She works Tuesday to Saturday from 9 am to 4.30 pm.   She is supported by the physiotherapy assistant for the exercise programme (link 1.1.8.1).  The monthly programme is developed in consultation with residents and reflects their interests and abilities.  The integrated programme is varied and provides group and individual activities to meet the hospital, and rest home residents’ recreational preferences and interests.  A support worker accompanies the SMI resident on outings and activities of their choice.  Care partners incorporate activities into their role on the lifestyle coordinator days off.  One-on-one contact is made with residents daily, who are unable to or choose not to participate in group activities.  Individual activities include hand massage, chats, reading etc.  Room visits are made daily to residents, ensuring they are aware of the activities being offered.  Activities include (but are not limited to); daily exercises, newspaper reading, hand massages, quizzes, board games, music, art and crafts, bowls, mini golf, movies, walks and gardening.  Community visitors include church visitors and entertainers, kapa haka group, pre-school, school children and girls brigade groups.  The service has a wheelchair hoist van and there are weekly outings to community events such as performances, concerts, shopping, cafes, lunches and inter-home visits to Elms Court rest home.  There are scenic drives and picnics.  Themes and festivities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pet dogs and a cat who live on site and the manager’s dog visits daily adding to the homely atmosphere.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 social profile and interests and hobbies form completed over the first few weeks after admission, which forms the basis of an activities plan which is then reviewed six monthly.  A record is kept of individual resident’s activities and monthly progress notes are documented.  Resident and relative meetings are held two monthly and provides an opportunity for residents and relatives to feedback on the service and the activities programme.  Residents and relatives interviewed commented positively on the activity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long-term care plans were reviewed.  Four long-term care plans had been evaluated by RNs six monthly.  One rest home resident had not been at the service long enough for a care plan evaluation.  There are written evaluations that identify if the resident goals have been met or unmet.  There are three-monthly clinical reviews by the medical practitioner or sooner if needs change.  Short-term care plan evaluations are completed at weekly intervals or more often if required.  Evaluations are conducted by the RNs with input from the resident, family, activities coordinator, care partners and GP.  Family are notified of any changes in the resident's condition, as evidenced in resident files reviewed and confirmed in family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residents’ files sampled.  The service facilitates access to other medical and non-medical services.  There is documented evidence of referrals to the podiatrist, physiotherapist, dietitian, older person health service and hospice.  Referrals are made to needs assessors for re-assessment of level of care as evidenced for one rest home resident who was re-assessed for hospital level of care and one resident who was re-assessed from respite to rest home level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were readily accessible for staff.  Chemicals were stored safely throughout the facility.  Personal protective clothing was available in the sluice, laundry and cleaning rooms.  Staff were observed to be wearing appropriate protective clothing when carrying out their duties on the day of audit.  Relevant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on 1 June 2020.  The maintenance person has been in the role two years and works 33 hours a week in maintenance and does one cleaning shift mid-week.  A maintenance request logbook is kept in the nurses’ station (sighted) which is checked daily with requests signed off when completed.  There is a scheduled maintenance plan in place that includes internal and external maintenance, testing and tagging of electrical equipment and calibration/functional checks of resident related equipment.  Essential contractors are available 24-hours.  The maintenance person has completed a qualification for electrical testing and tagging of equipment.  There are weekly hot water checks and room air temperatures taken and recorded.  All resident basins and showers have had individual thermostat tempering valves installed and hot water temperatures are maintained below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sufficiently wide corridors with handrails for residents to safely mobilise using mobility aids.  There is safe access to the outdoor areas.  Seating and shade are provided.  Family members maintain the garden and grounds.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partners interviewed stated there was sufficient equipment (hoists, pressure relieving devices and weight scales) to safely carry out the cares as documented in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have hand basins.  There is one resident bedroom with an ensuite toilet.  There are sufficient communal toilets and showers to meet resident requirements.  All communal toilets and bathrooms have appropriate signage and locks on the doors.  Fixtures, fittings and flooring is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spacious enough to allow residents to move about with mobility aids and wheelchairs and allows for the use of hoists.  Residents and families are encouraged to personalise their rooms as viewed on the day of audit.  Residents were observed safely moving around the facility.  There was sufficient space to transfer residents from room to lounge in specialised hospital lounge chairs.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main large lounge and a smaller lounge available for quieter activities or visitors to use.  There is a separate dining area adjacent to the kitchen.  Group activities occur in the main lounge, and residents interviewed stated they were able to use alternative communal areas if they did not wish to participate in communal activities being held in one of these areas.  There is safe access to the gardens and grounds.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laundry and cleaning services.  Elms Court Lifecare has reinstated on site laundry for all personal clothing and linen as from February 2019.  The large office/storage area (previously a purpose-built laundry) has been converted back to the laundry room with new commercial washing machines and dryers (still under warranty).  There is a defined clean/dirty area with two door entry/exit.  There is an external opening door for adequate ventilation.  Input into the layout of the laundry was sought from the clinical manager and infection control coordinator.  Care partners carry out laundry duties throughout their duty with night staff completing folding and ironing as required.  Staff wear pagers that alert them to call bells.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cleaner on duty seven days.  Cleaning trolleys are kept in a locked cleaner’s cupboard when not in use.  Chemical bottles on the trolley were labelled correctly and refilled through a mixing system.  Cleaning equipment is colour coded.  A cleaning schedule is maintained.  Safety data sheets and product information is readily available.  The cleaning and laundry service are monitored through the internal auditing system and resident satisfaction surveys.  The effectiveness of laundry and cleaning services and chemicals used is also monitored by the chemical provider.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 interviewed were satisfied with the laundry and cleaning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plans are documented for the service.  Fire drills occur every six months (at a minimum) with the last fire drill taking place on May 2019.  The orientation programme and annual education and training programme includes fire and security training.  Staff interviewed confirmed their understanding of emergency procedures.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disaster management plan is documented for the service.  There are adequate supplies available in the event of a civil defence emergency including food, water and blankets.  A gas cooker is available.  </w:t>
            </w:r>
          </w:p>
          <w:p w:rsidR="00EB7645" w:rsidRPr="00BE00C7" w:rsidP="00BE00C7">
            <w:pPr>
              <w:pStyle w:val="OutcomeDescription"/>
              <w:spacing w:before="120" w:after="120"/>
              <w:rPr>
                <w:rFonts w:cs="Arial"/>
                <w:b w:val="0"/>
                <w:lang w:eastAsia="en-NZ"/>
              </w:rPr>
            </w:pPr>
            <w:r w:rsidRPr="00BE00C7">
              <w:rPr>
                <w:rFonts w:cs="Arial"/>
                <w:b w:val="0"/>
                <w:lang w:eastAsia="en-NZ"/>
              </w:rPr>
              <w:t>A call bell system is in place.  Residents were observed in their rooms with their call bell alarms in close proximity.  Call bells are checked monthly by maintenance.</w:t>
            </w:r>
          </w:p>
          <w:p w:rsidR="00EB7645" w:rsidRPr="00BE00C7" w:rsidP="00BE00C7">
            <w:pPr>
              <w:pStyle w:val="OutcomeDescription"/>
              <w:spacing w:before="120" w:after="120"/>
              <w:rPr>
                <w:rFonts w:cs="Arial"/>
                <w:b w:val="0"/>
                <w:lang w:eastAsia="en-NZ"/>
              </w:rPr>
            </w:pPr>
            <w:r w:rsidRPr="00BE00C7">
              <w:rPr>
                <w:rFonts w:cs="Arial"/>
                <w:b w:val="0"/>
                <w:lang w:eastAsia="en-NZ"/>
              </w:rPr>
              <w:t>There is always at least one staff available 24 hours a day, seven days a week with a current first aid/CPR certificate.  All staff are required to complete their first aid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are heated by large heat pumps and there is underfloor heating throughout the facility.  All resident rooms have external windows and are well ventilated.  The facility has plenty of natural light.  All residents interviewed, stated they were happy with the temperature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Elms Court Lifecare has an established infection control programme.  The infection control programme has been reviewed for 2019.  The infection control programme, its content and detail, is appropriate for the size, complexity and degree of risk associated with the service.  It is linked into the incident reporting system.  An RN is the infection control coordinator.  The infection control coordinator has support from all staff including the GP.  Internal audits have been conducted and include hand hygiene and infection control practices.  Education is provided for all new staff on orientation.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for the size and complexity of the organisation.  The IC coordinator and IC team (comprising all staff) have good external support from the GP and IC team at the DHB.  Infection prevention and control is part of staff orientation.  Hand washing facilities are available throughout the facility and hand sanitiser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Elms Court Lifecare has infection control policies and procedures appropriate for the size and complexity of the service.  The infection control manual outlines a comprehensive range of policies, standards and guidelines and includes the infection control programme, responsibilities and oversight, training and education of staff.  The policies were introduced with the new ownership.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and has completed an online infection control course.  Infection control education has been provided in the past year.  Staff receive education on orientation and one-on-one training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provided to residents and visitors that is appropriate to their needs.  Resident education occurs at resident meetings such as use of sanitisers and hand washing.  Hand hygiene posters have been placed in all resident toilet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infection control manual.  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two monthly meetings.  If there is an emergent issue, it is acted upon in a timely manner.  The service has reduced the incidence of urinary tract infections.  Overall infection rates are low and there has been no outbreak since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restraint minimisation.  There were no residents using a restraint and one resident with a lap belt enabler in use.  The resident with an enabler had a documented assessment and consent.  The care plan included the enabler and risk associated with its use.  Monitoring had been completed as per the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on restraint minimisation.  The care partners and RNs interviewed were able to describe the difference between an enabler and a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39"/>
        <w:gridCol w:w="1280"/>
        <w:gridCol w:w="4843"/>
        <w:gridCol w:w="3283"/>
        <w:gridCol w:w="249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Monitoring forms are completed for monthly weights and vital signs.  There are other monitoring forms available as required for food and fluids, pain, blood sugar levels and challenging behaviours, however neurological observations had not been completed as required.  One rest home resident (SMI) with behaviours of concern did not have de-escalation techniques included in the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Neurological observations had not been completed as required by policy for four of six unwitnessed falls reviewed, and (ii) there were no interventions documented for the management/de-escalation of potential behaviours of concern for rest home SMI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neurological observations are completed as per policy, and (ii) ensure interventions and de-escalation strategies for behaviours of concern are included in the behaviour management plan.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95"/>
        <w:gridCol w:w="1280"/>
        <w:gridCol w:w="3764"/>
        <w:gridCol w:w="689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quality meeting committee that meets two monthly.  All quality data including the incidence of falls is reviewed at this meeting.  Where required, corrective action plans are developed.  The meeting noted a high incidence of falls with an increasing trend between March and May 2019.  A plan was implemented to address the high incidence of falls.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March to May the incidence of falls increased from four a month (March) to sixteen a month (May).  A process was put in place to reduce falls and improve resident safety.  This included (but not limited to): discussion of falls strategies in the RN meetings, reviewing all individual falls and the development of falls management plans for all identified frequent fallers.  A physiotherapy assistant commenced an activity programme three times a week and all moving and handling programmes for residents were reviewed by the physiotherapist.  The service has also worked with the staff to engender a “can do” approach and care partners are encouraged to be proactive with supporting residents in all aspects of daily care.  Additional training was provided including follow up and discussion of falls at staff meetings.  Falls have reduced in September to six with an overall downward trend since May.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infection control committee that meets two monthly, as a subset of the quality management meeting.  Surveillance data is reviewed at this meeting and, where required, corrective action plans are developed.  The infection control committee reviewed the incidence of urinary tract infections.  It was noted that urinary tract infections had risen from March 2019 (nil) to three in May 2019.  A plan was put in place that effectively reduced the incidence of urinary tract infections.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implemented a plan to reduce the incidence of urinary tract infection.  Interventions included (but not limited to); education for staff, residents and family regarding prevention of urinary tract infection and the importance of drinking plenty of fluids.  Family and resident information was provided as part of care and also as part of resident/family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reviewed staffing and noted that afternoon staff did not always assist with fluids due to other tasks.  The kitchen assistant was assigned to assist with afternoon drinks and snack, and this ensured that the more dependant residents had more time to enjoy their drinks and snacks. </w:t>
            </w:r>
          </w:p>
          <w:p w:rsidR="00EB7645" w:rsidRPr="00BE00C7" w:rsidP="00BE00C7">
            <w:pPr>
              <w:pStyle w:val="OutcomeDescription"/>
              <w:spacing w:before="120" w:after="120"/>
              <w:rPr>
                <w:rFonts w:cs="Arial"/>
                <w:b w:val="0"/>
                <w:lang w:eastAsia="en-NZ"/>
              </w:rPr>
            </w:pPr>
            <w:r w:rsidRPr="00BE00C7">
              <w:rPr>
                <w:rFonts w:cs="Arial"/>
                <w:b w:val="0"/>
                <w:lang w:eastAsia="en-NZ"/>
              </w:rPr>
              <w:t>The service reviewed continence products and changed to an alternative continence product, full training was provided to staff on the use of the new product.</w:t>
            </w:r>
          </w:p>
          <w:p w:rsidR="00EB7645" w:rsidRPr="00BE00C7" w:rsidP="00BE00C7">
            <w:pPr>
              <w:pStyle w:val="OutcomeDescription"/>
              <w:spacing w:before="120" w:after="120"/>
              <w:rPr>
                <w:rFonts w:cs="Arial"/>
                <w:b w:val="0"/>
                <w:lang w:eastAsia="en-NZ"/>
              </w:rPr>
            </w:pPr>
            <w:r w:rsidRPr="00BE00C7">
              <w:rPr>
                <w:rFonts w:cs="Arial"/>
                <w:b w:val="0"/>
                <w:lang w:eastAsia="en-NZ"/>
              </w:rPr>
              <w:t>Over the period May 2019 to September 2019 the incidence of urinary tract infections has reduced in May to nil in July and one for August and September.  This low incidence is remarkable as it includes two residents who have a supra pubic catheters and one with an indwelling catheter.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Elms Court Lifecare Limited - Maidstone Lifecare</w:t>
    </w:r>
    <w:bookmarkEnd w:id="58"/>
    <w:r>
      <w:rPr>
        <w:rFonts w:cs="Arial"/>
        <w:sz w:val="16"/>
        <w:szCs w:val="20"/>
      </w:rPr>
      <w:tab/>
      <w:t xml:space="preserve">Date of Audit: </w:t>
    </w:r>
    <w:bookmarkStart w:id="59" w:name="AuditStartDate1"/>
    <w:r>
      <w:rPr>
        <w:rFonts w:cs="Arial"/>
        <w:sz w:val="16"/>
        <w:szCs w:val="20"/>
      </w:rPr>
      <w:t>6 November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