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Windsor Park Specialist Senior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Windsor Park Specialist Senior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November 2019</w:t>
      </w:r>
      <w:bookmarkEnd w:id="7"/>
      <w:r w:rsidRPr="009418D4">
        <w:rPr>
          <w:rFonts w:cs="Arial"/>
        </w:rPr>
        <w:tab/>
        <w:t xml:space="preserve">End date: </w:t>
      </w:r>
      <w:bookmarkStart w:id="8" w:name="AuditEndDate"/>
      <w:r w:rsidR="00A4268A">
        <w:rPr>
          <w:rFonts w:cs="Arial"/>
        </w:rPr>
        <w:t>14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Windsor Park Care Home is part of the Bupa group.  The service is certified to provide rest home, hospital (medical and geriatric), dementia and residential disability (physical) level of care for up to 79 residents.  On the day of audit there were 58 residents.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general practitioner and staff.  </w:t>
      </w:r>
    </w:p>
    <w:p w:rsidRPr="00A4268A">
      <w:pPr>
        <w:spacing w:before="240" w:line="276" w:lineRule="auto"/>
        <w:rPr>
          <w:rFonts w:eastAsia="Calibri"/>
        </w:rPr>
      </w:pPr>
      <w:r w:rsidRPr="00A4268A">
        <w:rPr>
          <w:rFonts w:eastAsia="Calibri"/>
        </w:rPr>
        <w:t>The care home manager is a registered nurse and has been in the role since January 2019.  The clinical manager (RN) has been in the role for 18 months and has a background in aged care.  They are supported by a recently appointed unit coordinator, registered nurses and long-standing caregivers.</w:t>
      </w:r>
    </w:p>
    <w:p w:rsidRPr="00A4268A">
      <w:pPr>
        <w:spacing w:before="240" w:line="276" w:lineRule="auto"/>
        <w:rPr>
          <w:rFonts w:eastAsia="Calibri"/>
        </w:rPr>
      </w:pPr>
      <w:r w:rsidRPr="00A4268A">
        <w:rPr>
          <w:rFonts w:eastAsia="Calibri"/>
        </w:rPr>
        <w:t xml:space="preserve">This surveillance audit identified that improvements are required around meetings, aspects of health and safety, orientation and appraisals, and infection control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Relatives interviewed stated they felt well informed.  Incident reports evidenced relative notification of adverse events.  A complaints register is maintained.  Complaints have been well documented and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Bupa Windsor Park has a current business plan and quality assurance and risk management plan that outlines objectives for the year.  Aspects of quality information are reported to the monthly quality committee meetings.  Internal audits are being conducted according to the schedule.  Residents and relatives are provided the opportunity to feedback on service delivery issues at three monthly resident meetings and via resident/relative satisfaction surveys.  Incidents are collated monthly and opportunities to minimise risks are identified.  An employment process is in place.  The in-service education programme for 2019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senior medication competent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 xml:space="preserve">Residents commented positively on the meals.  Snacks are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Preventative and reactive maintenance occurs.  All communal areas are accessible for residents using mobility aids.  External areas are well maintained and provide seating and shade.  There is a secure external area in the dementia unit with paths with no dead ends.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Bupa Windsor Park has restraint minimisation and safe practice policies and procedures in place.  At the time of the audit there were four residents with restraints and two residents using an enabler.  Assessments were fully completed.  There is a designated restraint coordinator.  Staff receive training around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There has been one Norovirus outbreak in 2019.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 forms are available in the foyer.  Staff are aware of the complaints process and to whom they should direct complaints.  A complaint register is maintained on the Riskman electronic system.  There have been three complaints registered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including follow-up letters and resolution, demonstrated that complaints are being managed in accordance with guidelines set by the HDC.  Any corrective actions developed have been followed up and implemented.  Discussions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on Riskman (the electronic data collection software), have a section to indicate if next of kin have been informed (or not) of an accident/incident.  Ten incident forms were reviewed for October and November 2019 and all identified that family had been informed.  Four relatives (three dementia and one hospital) interviewed stated that they are kept informed when their family member’s health status changes.  Residents interviewed (three rest home and four hospital) stated communication was good.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Windsor Park is certified to provide rest home, hospital (geriatric and medical), dementia and residential disability (physical) level care for up to 79 residents.  On the day of audit there were 58 residents.  There are 29 dedicated rest home beds with 24 rest home level residents including one resident on respite; 34 hospital beds with 20 residents including a resident on a YPD contract, and one resident on an ACC contract.  The dementia unit as 16 beds with 14 residents on the day including one resident on respite.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Windsor Park is part of the Southern Bupa region, and the managers from this region meet bi-monthly to review and discuss the organisational goals and their progress towards these.  The care home manager reports to the operations manager (southern) on a weekly basis while settling into the role, with the view to move to reporting on a monthly basis.  Windsor Park has set a number of quality goals that link to the Bupa quality and health and safety goals.  A quarterly report is prepared by the operations manager (on behalf of the care home manager) and sent to the Bupa continuous service improvements (CSI) team on the progress and actions that have been taken to achieve the Windsor Park quality goals.  Quality goals include (but are not limited to); (i) decrease falls across all communities by 10%, and for 10% of staff to have PDRP.  The goals have been reviewed three monthly as documented in the quality meetings since May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the role since January 2019, she is an experienced registered nurse (RN), who has an extensive background in teaching nurse students.  She is supported by a clinical manager (RN) who has been in the role for 18 months and has a background in aged care and a recently employed unit coordinator/RN.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comprehensive quality and risk programme documented for all Bupa services to implement.  Records reviewed identified an implemented monthly monitoring of quality and risk data since mid-2019 including (but is not limited to): residents’ falls; infection rates; and restraint use.  However, there was no evidence of previous quality data stats.  Quality and risk data, including trends in data and benchmarked results are not documented as discussed in the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have been held, but not according to the schedule, therefore information is not evidenced as discussed with staff (confirmed during staff interviews).  The Bupa annual internal audit schedule was sighted for the service with evidence of internal audits occurring as per the audit schedule.  Corrective actions are developed when shortfalls are identified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have been established for 2019.  A health and safety committee has been formed to include a representative from all departments.  Meetings have been held (not according to schedule), and there was evidence that new and ongoing hazards are discussed.  All new hazards identified have a corrective action plan in place which has been signed off once completed.  The committee looks closely at staff injuries and ensures all documentation has been completed before the end of the shift.  A hazard register is in place, but there was no evidence of when this was last reviewed.  Staff have not been provided with health and safety training as planned.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annual resident/relative satisfaction survey completed in 2019 that showed an overall satisfaction rate for both surveys.  Corrective actions were developed, and new initiatives have been developed on food services including introducing summer salad platters, and a hot option, and changing the breakfast routines.  Improvements around activities included the provision of a mobile activities trolley and setting up an education and support group for relatives from the Charlton (dementia) unit.  An overall review of the activities calendar was made, and provision was also made for toys to be available for visiting children in the café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electronic incident/accident reports are completed for each incident/accident on the Riskman system with immediate action noted and any follow-up action required.  Incident/accident data is linked to the organisation's data collection data base and is used for comparative purposes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ten incident/accident forms identified that forms were fully completed and included follow-up by the registered nurse and reviewed by the clinical manager.  NOK had been informed, and neurological observations completed for unwitnessed falls.  The care home manager and clinical manager are involved in the adverse event process and the incident reports identified opportunities to minimise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was able to identify situations that would be reported to statutory authorities including infectious diseases, pressure injuries, serious accidents and unexpected death.  Section 31 reports are completed by head office.  Section 31 notifications had been made for a recent outbreak, and two unstageable pressure injuries (one facility acquired, and one non-facility acquired).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(one clinical manager, one RN, one enrolled nurse (EN) and three caregivers) reviewed, evidenced implementation of the recruitment process, employment contracts, reference checks and job descriptions were in place, however there was no evidence of role-specific orientation for new staff and no staff had a current appraisal.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DHB.  There are four RNs (including the unit coordinator) and one EN who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reported a high turnover of management since the last audit with temporary managers in place.  The caregivers have been fairly stable and there has been movement in the RNs with two international RNs leaving within six months of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staff had completed competencies on oxygen management, restraint, manual handling, and medications.  There is a first aider on each duty (RN, EN or senior caregivers) and the van driver has a current first aid certificate.  All regular and casual caregivers working in the dementia unit have completed the dementia standards.  There are 4 caregivers who have level 4 Careerforce qualifications, 12 caregivers have a level 3 qualification and 9 have a level 2 qualification.  The service is currently orientating five new caregivers, who will achieve level 2 on completion of their orientation.  All nurses have a current syringe driver competency.  Ten nurses (RNs and ENs) have commenced PDRP.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home manager, clinical manager, and unit coordinator are available during weekdays from 8.30 am to 5 pm.  The care home manager is on-call after hours for any organisational concerns and the clinical manager and unit coordinator share on-call for any clinical issues.  Adequate RN cover is provided 24 hours a day, 7 days a week.  Registered nurses have time available to complete interRAI assessments and care planning evaluations within contractual timeframes.</w:t>
            </w:r>
          </w:p>
          <w:p w:rsidR="00EB7645" w:rsidRPr="00BE00C7" w:rsidP="00BE00C7">
            <w:pPr>
              <w:pStyle w:val="OutcomeDescription"/>
              <w:spacing w:before="120" w:after="120"/>
              <w:rPr>
                <w:rFonts w:cs="Arial"/>
                <w:b w:val="0"/>
                <w:lang w:eastAsia="en-NZ"/>
              </w:rPr>
            </w:pPr>
            <w:r w:rsidRPr="00BE00C7">
              <w:rPr>
                <w:rFonts w:cs="Arial"/>
                <w:b w:val="0"/>
                <w:lang w:eastAsia="en-NZ"/>
              </w:rPr>
              <w:t>Charlton dementia community (14 residents);</w:t>
            </w:r>
          </w:p>
          <w:p w:rsidR="00EB7645" w:rsidRPr="00BE00C7" w:rsidP="00BE00C7">
            <w:pPr>
              <w:pStyle w:val="OutcomeDescription"/>
              <w:spacing w:before="120" w:after="120"/>
              <w:rPr>
                <w:rFonts w:cs="Arial"/>
                <w:b w:val="0"/>
                <w:lang w:eastAsia="en-NZ"/>
              </w:rPr>
            </w:pPr>
            <w:r w:rsidRPr="00BE00C7">
              <w:rPr>
                <w:rFonts w:cs="Arial"/>
                <w:b w:val="0"/>
                <w:lang w:eastAsia="en-NZ"/>
              </w:rPr>
              <w:t>1x EN rostered on the morning shift (6.45 am to 3.15 pm) and either an EN or senior caregiver (level 4 medicine competent) in the afternoon (2.30 pm to 11 pm) under supervision from the RN in the hospital community.</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two caregivers; 1x 6.45 am to 3.15 pm and 1x 7 am to 3 pm.  The afternoon shift has two caregivers rostered; 1x 2.30 pm to 11 pm and 1x 4 pm to 8 pm.  One caregiver works nightshift from 10.45 pm to 7 am.</w:t>
            </w:r>
          </w:p>
          <w:p w:rsidR="00EB7645" w:rsidRPr="00BE00C7" w:rsidP="00BE00C7">
            <w:pPr>
              <w:pStyle w:val="OutcomeDescription"/>
              <w:spacing w:before="120" w:after="120"/>
              <w:rPr>
                <w:rFonts w:cs="Arial"/>
                <w:b w:val="0"/>
                <w:lang w:eastAsia="en-NZ"/>
              </w:rPr>
            </w:pPr>
            <w:r w:rsidRPr="00BE00C7">
              <w:rPr>
                <w:rFonts w:cs="Arial"/>
                <w:b w:val="0"/>
                <w:lang w:eastAsia="en-NZ"/>
              </w:rPr>
              <w:t>Croydon and Waimea (rest home) communities (25 beds with 23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1x EN or senior caregiver are rostered on morning and afternoon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one caregiver on the morning (6.45am to 3.15pm) and afternoon (2.30pm to 10pm) shifts.  The EN or senior caregiver assist residents with the morning and afternoon routines.  One caregiver is rostered for the nightshift.  </w:t>
            </w:r>
          </w:p>
          <w:p w:rsidR="00EB7645" w:rsidRPr="00BE00C7" w:rsidP="00BE00C7">
            <w:pPr>
              <w:pStyle w:val="OutcomeDescription"/>
              <w:spacing w:before="120" w:after="120"/>
              <w:rPr>
                <w:rFonts w:cs="Arial"/>
                <w:b w:val="0"/>
                <w:lang w:eastAsia="en-NZ"/>
              </w:rPr>
            </w:pPr>
            <w:r w:rsidRPr="00BE00C7">
              <w:rPr>
                <w:rFonts w:cs="Arial"/>
                <w:b w:val="0"/>
                <w:lang w:eastAsia="en-NZ"/>
              </w:rPr>
              <w:t>The hospital communities - Hokonui (20 beds, 11 residents including one YPD) and Waimumu (13 dual purpose beds with 10 residents including one rest home resident and one ACC).</w:t>
            </w:r>
          </w:p>
          <w:p w:rsidR="00EB7645" w:rsidRPr="00BE00C7" w:rsidP="00BE00C7">
            <w:pPr>
              <w:pStyle w:val="OutcomeDescription"/>
              <w:spacing w:before="120" w:after="120"/>
              <w:rPr>
                <w:rFonts w:cs="Arial"/>
                <w:b w:val="0"/>
                <w:lang w:eastAsia="en-NZ"/>
              </w:rPr>
            </w:pPr>
            <w:r w:rsidRPr="00BE00C7">
              <w:rPr>
                <w:rFonts w:cs="Arial"/>
                <w:b w:val="0"/>
                <w:lang w:eastAsia="en-NZ"/>
              </w:rPr>
              <w:t>One registered nurse is rostered across all shifts with an extra EN on twice a week to cover while the RN attends to the GP rounds.</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four caregivers; 2x 7am to 3.30 pm and 2x 7am to 3 pm.  The afternoon shift has four caregivers; 2x 3.30pm to 11pm and 2x 4pm to 9 pm.  One caregiver is rostered for nightshift.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From 18 November 2019, the facility will have a full complement of staff with no casual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medico pack system.  Medications are checked on arrival and any pharmacy errors recorded and fed back to the supplying pharmacy.  RNs, ENs and senior medication competent caregivers administer all medications.  Staff attend annual education and have an annual medication competency completed.  All eight RNs and two ENs are syringe driver trained by the hospice.  The medication fridge and room temperature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Twelve medication charts were reviewed.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kitchen manager and two other cooks who cover Monday to Sunday.  There is a kitchenhand 6 am to 2 pm and another from 2 pm to 7.30 pm.  All cooks have current food safety certificates.  The kitchen manager oversees the procurement of the food and management of the kitchen.  There is a well-equipped kitchen and all meals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the Bupa dietitian.  All resident/families interviewed were satisfied with the meals.  They particularly commented on the home baking.  There are snacks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on 14 September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Riskman and written in the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were in place for all wounds.  Wound monitoring occurs as planned.  There were currently five wounds being treated.  There were no wounds in the dementia unit.  There is currently one pressure injury.  This had been seen by the wound care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(DT) who works forty hours a week.  She has assistance from volunteers on a Monday and Friday.  The caregivers assist with activities in the dementia unit every morning.  There is an activities trolley set up for them to use.  There is no weekend cover, but the DT comes in for special events.  On the day of audit residents were observed playing quoits (dementia unit), taking part in a quiz and going out in the van to go shopping.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areas.  Residents have the choice of a variety of activities in which to participate and every effort is made to ensure activities are meaningful and tailored to residents’ needs.  These include exercises, bingo, news from the paper, music, quizzes and games.  There is a lady’s group which holds coffee mornings.  There is also a men’s group who go out to the RSA.  Dementia unit residents often come out to the activities in the rest home and hospital if suitable.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interdenominational church service every Sunday and Catholic communion as required.   </w:t>
            </w:r>
          </w:p>
          <w:p w:rsidR="00EB7645" w:rsidRPr="00BE00C7" w:rsidP="00BE00C7">
            <w:pPr>
              <w:pStyle w:val="OutcomeDescription"/>
              <w:spacing w:before="120" w:after="120"/>
              <w:rPr>
                <w:rFonts w:cs="Arial"/>
                <w:b w:val="0"/>
                <w:lang w:eastAsia="en-NZ"/>
              </w:rPr>
            </w:pPr>
            <w:r w:rsidRPr="00BE00C7">
              <w:rPr>
                <w:rFonts w:cs="Arial"/>
                <w:b w:val="0"/>
                <w:lang w:eastAsia="en-NZ"/>
              </w:rPr>
              <w:t>Each area has a van outing weekly.  Special events like birthdays, Easter, Mothers’ Day, Anzac Day and the Melbourne Cup are celebrated.  The facility recently held a ‘wearable arts’ event with other rest homes.  There is entertainment every Friday and happy hour weekly.  In the dementia unit happy hour is soft drinks and chips.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one cat who wanders throughout all areas.  Staff also bring in dogs and chickens.  There are raised garden beds for residents to potter in if desired.  There is a large fenced off garden for the dementia unit residents to walk around.</w:t>
            </w:r>
          </w:p>
          <w:p w:rsidR="00EB7645" w:rsidRPr="00BE00C7" w:rsidP="00BE00C7">
            <w:pPr>
              <w:pStyle w:val="OutcomeDescription"/>
              <w:spacing w:before="120" w:after="120"/>
              <w:rPr>
                <w:rFonts w:cs="Arial"/>
                <w:b w:val="0"/>
                <w:lang w:eastAsia="en-NZ"/>
              </w:rPr>
            </w:pPr>
            <w:r w:rsidRPr="00BE00C7">
              <w:rPr>
                <w:rFonts w:cs="Arial"/>
                <w:b w:val="0"/>
                <w:lang w:eastAsia="en-NZ"/>
              </w:rPr>
              <w:t>The YPD resident has poor health and is mainly a passive participant in activities.</w:t>
            </w:r>
          </w:p>
          <w:p w:rsidR="00EB7645" w:rsidRPr="00BE00C7" w:rsidP="00BE00C7">
            <w:pPr>
              <w:pStyle w:val="OutcomeDescription"/>
              <w:spacing w:before="120" w:after="120"/>
              <w:rPr>
                <w:rFonts w:cs="Arial"/>
                <w:b w:val="0"/>
                <w:lang w:eastAsia="en-NZ"/>
              </w:rPr>
            </w:pPr>
            <w:r w:rsidRPr="00BE00C7">
              <w:rPr>
                <w:rFonts w:cs="Arial"/>
                <w:b w:val="0"/>
                <w:lang w:eastAsia="en-NZ"/>
              </w:rPr>
              <w:t>There are strong community links.  Local pre-schools and schools visit.  Residents go out to the RSA, card groups, embroidery group and the movies.  The Zippy coffee van visits every Wednesday and residents enjoy buying from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 monthly.  The residents interviewed spoke positively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respite resident, all plans reviewed had been evaluated by the registered nurse six monthly or when changes to care occurred.  A written evaluation is completed.  Short-term care plans for short- 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(one hospital and three dementia)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6 August 2020.  There is a maintenance person who works full time five days a week.  There is an assistant maintenance man who works sixteen hours a week.  Both work in the village as well.  There is a fulltime gardener.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most bedrooms are carpeted.  There are four bedrooms in each wing which have vinyl.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Caregivers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collected monthly.   There is no documented evidence of IC statistics from January to June 2019.  From June to present IC statistics have been collected, but there is no analysis of data and no reporting of trends.  Infection control internal audits have been completed.  Infection rates have overall been low.  There is a policy describing surveillance methodology for monitoring of infections.  Definitions of infections are in place appropriate to the complexity of service provided.  There was a Norovirus outbreak early 2019.  This was well documented and reported to the appropriate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four residents using restraints (three residents using bed rails and one of these residents also using a lap belt on a wheelchair, and another resident using a lap belt as a restraint).  Two residents use bedrails as an enabler.  Staff training around restraint minimisation and management of challenging behaviours was last completed in July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95"/>
        <w:gridCol w:w="1280"/>
        <w:gridCol w:w="3689"/>
        <w:gridCol w:w="1981"/>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data collated includes infection rates, incidents, restraint and internal audits.  There is no evidence of analysis or trending of the results, and no documentation in the meetings which have been held around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Meetings are not held according to the schedule; quality, staff meetings, health and safety and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Minutes of meetings held do not discuss quality data analysis or trending around infection control, incidents/accidents, internal audit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meetings are held according to the schedule and there is evidence of analysis and trending discussed.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meetings held this year evidenced there was discussion around current and ongoing hazards identified.  Corrective actions are in place and signed off on completion.  The health and safety plan had been discussed.  However, there was no evidence of the review of the hazard register, and training had not been provided as planned.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hazard register has not been reviewed at least annually.</w:t>
            </w:r>
          </w:p>
          <w:p w:rsidR="00EB7645" w:rsidRPr="00BE00C7" w:rsidP="00BE00C7">
            <w:pPr>
              <w:pStyle w:val="OutcomeDescription"/>
              <w:spacing w:before="120" w:after="120"/>
              <w:rPr>
                <w:rFonts w:cs="Arial"/>
                <w:b w:val="0"/>
                <w:lang w:eastAsia="en-NZ"/>
              </w:rPr>
            </w:pPr>
            <w:r w:rsidRPr="00BE00C7">
              <w:rPr>
                <w:rFonts w:cs="Arial"/>
                <w:b w:val="0"/>
                <w:lang w:eastAsia="en-NZ"/>
              </w:rPr>
              <w:t>(ii).  There has been no health and safety training provided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(ii).  Ensure the hazards register is reviewed at least annually, and training on health and safety is provided as per schedule.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staff files reviewed had an agreement, job description and competencies that were completed on employment.  Evidence of qualifications and practicing certificates were on file.  The care home manager had identified there were no up-to-date appraisals completed and was awaiting packs to arrive to start completing this.  There was no evidence of appraisals completed for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no role-specific orientation was evident on staff files.</w:t>
            </w:r>
          </w:p>
          <w:p w:rsidR="00EB7645" w:rsidRPr="00BE00C7" w:rsidP="00BE00C7">
            <w:pPr>
              <w:pStyle w:val="OutcomeDescription"/>
              <w:spacing w:before="120" w:after="120"/>
              <w:rPr>
                <w:rFonts w:cs="Arial"/>
                <w:b w:val="0"/>
                <w:lang w:eastAsia="en-NZ"/>
              </w:rPr>
            </w:pPr>
            <w:r w:rsidRPr="00BE00C7">
              <w:rPr>
                <w:rFonts w:cs="Arial"/>
                <w:b w:val="0"/>
                <w:lang w:eastAsia="en-NZ"/>
              </w:rPr>
              <w:t>None of the five staff files reviewed had evidence of a current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have role-specific orientation completed, and evidence appraisals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documented evidence of infection control (IC) statistics from January to June 2019.  From June (when new IC coordinator started) IC statistics have been collected but no analysis has taken place and trends have not been identified.  Meetings are not always held as per schedule (link 1.2.3.6) and reporting of trends does not occur.  The facility does not benchmark IC statistics.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documented evidence of IC statistics from January to June 2019.</w:t>
            </w:r>
          </w:p>
          <w:p w:rsidR="00EB7645" w:rsidRPr="00BE00C7" w:rsidP="00BE00C7">
            <w:pPr>
              <w:pStyle w:val="OutcomeDescription"/>
              <w:spacing w:before="120" w:after="120"/>
              <w:rPr>
                <w:rFonts w:cs="Arial"/>
                <w:b w:val="0"/>
                <w:lang w:eastAsia="en-NZ"/>
              </w:rPr>
            </w:pPr>
            <w:r w:rsidRPr="00BE00C7">
              <w:rPr>
                <w:rFonts w:cs="Arial"/>
                <w:b w:val="0"/>
                <w:lang w:eastAsia="en-NZ"/>
              </w:rPr>
              <w:t>(ii). From June to present IC statistics have been collected, but there is no analysis of data and no reporting of trends.</w:t>
            </w:r>
          </w:p>
          <w:p w:rsidR="00EB7645" w:rsidRPr="00BE00C7" w:rsidP="00BE00C7">
            <w:pPr>
              <w:pStyle w:val="OutcomeDescription"/>
              <w:spacing w:before="120" w:after="120"/>
              <w:rPr>
                <w:rFonts w:cs="Arial"/>
                <w:b w:val="0"/>
                <w:lang w:eastAsia="en-NZ"/>
              </w:rPr>
            </w:pPr>
            <w:r w:rsidRPr="00BE00C7">
              <w:rPr>
                <w:rFonts w:cs="Arial"/>
                <w:b w:val="0"/>
                <w:lang w:eastAsia="en-NZ"/>
              </w:rPr>
              <w:t>(iii). There was no documented evidence of benchmarking with other Bupa facilities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statistics collated, evidence analysis and reporting of trends (if any identified).  Ensure benchmarking with other Bupa facilities occurs.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Windsor Park Specialist Senior Care Centre</w:t>
    </w:r>
    <w:bookmarkEnd w:id="58"/>
    <w:r>
      <w:rPr>
        <w:rFonts w:cs="Arial"/>
        <w:sz w:val="16"/>
        <w:szCs w:val="20"/>
      </w:rPr>
      <w:tab/>
      <w:t xml:space="preserve">Date of Audit: </w:t>
    </w:r>
    <w:bookmarkStart w:id="59" w:name="AuditStartDate1"/>
    <w:r>
      <w:rPr>
        <w:rFonts w:cs="Arial"/>
        <w:sz w:val="16"/>
        <w:szCs w:val="20"/>
      </w:rPr>
      <w:t>13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