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Moana House Trust Board - Moana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Moana House</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Moana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December 2019</w:t>
      </w:r>
      <w:bookmarkEnd w:id="7"/>
      <w:r w:rsidRPr="009418D4">
        <w:rPr>
          <w:rFonts w:cs="Arial"/>
        </w:rPr>
        <w:tab/>
        <w:t xml:space="preserve">End date: </w:t>
      </w:r>
      <w:bookmarkStart w:id="8" w:name="AuditEndDate"/>
      <w:r w:rsidR="00A4268A">
        <w:rPr>
          <w:rFonts w:cs="Arial"/>
        </w:rPr>
        <w:t>2 December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Moana House provides rest home and hospital care services for up to 47 residents. The service is owned and operated by the Moana House Trust Board and managed by a general manager (GM) who is a registered nurse with a current practising certificate, with day to day support from other registered nurses (RNs).</w:t>
      </w:r>
    </w:p>
    <w:p w:rsidRPr="00A4268A">
      <w:pPr>
        <w:spacing w:before="240" w:line="276" w:lineRule="auto"/>
        <w:rPr>
          <w:rFonts w:eastAsia="Calibri"/>
        </w:rPr>
      </w:pPr>
      <w:r w:rsidRPr="00A4268A">
        <w:rPr>
          <w:rFonts w:eastAsia="Calibri"/>
        </w:rPr>
        <w:t>This unannounced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and their family members, staff and a general practitioner (GP). All interviewees spoke positively about the care provided.</w:t>
      </w:r>
    </w:p>
    <w:p w:rsidRPr="00A4268A">
      <w:pPr>
        <w:spacing w:before="240" w:line="276" w:lineRule="auto"/>
        <w:rPr>
          <w:rFonts w:eastAsia="Calibri"/>
        </w:rPr>
      </w:pPr>
      <w:r w:rsidRPr="00A4268A">
        <w:rPr>
          <w:rFonts w:eastAsia="Calibri"/>
        </w:rPr>
        <w:t>The GM reported no significant changes since the previous certification audit in February 2018. The two corrective actions from that audit have been resolved.</w:t>
      </w:r>
    </w:p>
    <w:p w:rsidRPr="00A4268A">
      <w:pPr>
        <w:spacing w:before="240" w:line="276" w:lineRule="auto"/>
        <w:rPr>
          <w:rFonts w:eastAsia="Calibri"/>
        </w:rPr>
      </w:pPr>
      <w:r w:rsidRPr="00A4268A">
        <w:rPr>
          <w:rFonts w:eastAsia="Calibri"/>
        </w:rPr>
        <w:t>This audit resulted in no areas requiring improvement and an ongoing rating of continuous improvement in relation to governance.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Communication occurs between staff and residents and their families and with other health providers. The service adheres to the practices of open disclosure where necessary. </w:t>
      </w:r>
    </w:p>
    <w:p w:rsidRPr="00A4268A">
      <w:pPr>
        <w:spacing w:before="240" w:line="276" w:lineRule="auto"/>
        <w:rPr>
          <w:rFonts w:eastAsia="Calibri"/>
        </w:rPr>
      </w:pPr>
      <w:r w:rsidRPr="00A4268A">
        <w:rPr>
          <w:rFonts w:eastAsia="Calibri"/>
        </w:rPr>
        <w:t>There have been no complaint investigations by the Office of the Health and Disability Commissioner (HDC) in the past 18 months.  Review of complaint records and interviews with staff, residents and families demonstrated that all complaints received since the previous audit were managed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service is maintaining its quality and risk management system with regular monitoring of all service areas.</w:t>
      </w:r>
    </w:p>
    <w:p w:rsidRPr="00A4268A">
      <w:pPr>
        <w:spacing w:before="240" w:line="276" w:lineRule="auto"/>
        <w:rPr>
          <w:rFonts w:eastAsia="Calibri"/>
        </w:rPr>
      </w:pPr>
      <w:r w:rsidRPr="00A4268A">
        <w:rPr>
          <w:rFonts w:eastAsia="Calibri"/>
        </w:rPr>
        <w:t>Adverse events are reliably reported by all levels of staff. There was evidence that people impacted by an adverse event are notified, for example, general practitioners and families. Notification of serious events is occurring as required by regulatory requirements.</w:t>
      </w:r>
    </w:p>
    <w:p w:rsidRPr="00A4268A">
      <w:pPr>
        <w:spacing w:before="240" w:line="276" w:lineRule="auto"/>
        <w:rPr>
          <w:rFonts w:eastAsia="Calibri"/>
        </w:rPr>
      </w:pPr>
      <w:r w:rsidRPr="00A4268A">
        <w:rPr>
          <w:rFonts w:eastAsia="Calibri"/>
        </w:rPr>
        <w:t>Human resources systems are in place and staff are recruited and managed effectively. Staff training in relevant subject areas is occurring regularly. All staff are supported and encouraged to attend ongoing performance development and achieve educational qualifications in health care. Experienced and qualified staff are rostered on all shifts in each of the service delivery areas.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Moana House have their needs assessed by the multidisciplinary team on admission within the required timeframes. Verbal shift handovers and communication sheets guide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Subjective, objective, assessment plans (SOAP)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overseen by an activities co-ordinator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at Moana House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at Moana House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has a current Building Warrant of Fitness. There have been no changes to the footprint of the building.</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provider is maintaining a restraint free environment. On the day of audit there were five residents using enablers to assist them with mobilising.</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Moana House undertakes aged care specific infection control surveillance with data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14"/>
        <w:gridCol w:w="1280"/>
        <w:gridCol w:w="104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best practice, contractual and/or legislative requirements.  Information on the complaint process is provided to residents and families on admission and those interviewed knew what to do if they had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five complaints have been received since the 2018 certification audit. Review of the complaint documents and interview with the GM confirmed that each complaint had been acknowledged in writing, investigated and resolved within appropriate time frames. Communication between the parties involved had occurred as required and demonstrated open disclosure. A complaint involving the service provider was sent to the DHB in February 2019. The DHB referred it to the Office of the Health and Disability Commissioner (HDC) who did not uphold the complaint and referred it to the Human Rights Commission.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and were advised in a timely manner about any incidents or accidents and outcomes of regular and any urgent medical reviews. This was supported in the incident forms and residents’ records reviewed. The level of written and verbal information relayed between staff at shift changes about each resident was sufficient to ensure continuity of care.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principles of open disclosure, which is supported by policies and procedures that meet the requirements of the Code. Staff knew how to access interpreter services, although reported this has not been required due to all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GM is a registered nurse with a current practising certificate and has been in the role for 19 years. Responsibilities and accountabilities are described in a job description and individual employment agreement. The GM confirmed knowledge of the sector, regulatory and reporting requirements and maintains currency through on-line study, meetings of the NZ Age Care Association, the NZ College of Nurses and regular meetings with other facility managers in the Community Trust Care Aotearoa (CTCA) group. Moana House is part of the CTCA, a business entity of aged care facilities who share common factors such as being located rurally and governed by not for profit organisations. This group is continuing to add value to the nine aged related residential care facilities who are members. A rating of continuous improvement acknowledges this in 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board are kept informed verbally and in writing by the GM of all operational, quality and risk matters, confirmed by review of a sample of board meeting minutes and reports for 2018-2019.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has agreements with the DHB for age related care (ARC) in rest home, and hospital (medical, geriatric care and palliative) respite/short stay and day services. As well as the Aged Residential Care contract, the service holds agreement with the DHB for provision of primary care, including palliative care, long term support-chronic health conditions (LTS-CHC) and respite services. There is also a young persons with disability (YPD) contract in place with the MoH, though there have been no YPD residents admitted for some years. On the day of audit 41 of the 47 beds were occupied. Twenty-five residents were receiving rest home level care, including one person staying for respite, and 16 were receiving hospital level care. This included one resident admitted under the post-acute care (PAC) agreement, one admitted under primary care and one resident under the age of 65 years funded under LTS-CHC. None of the residents living in the serviced apartments were receiving rest home or hospital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quality and risk system that reflects the principles of continuous quality improvement. A part time quality officer (QO) manages the system. This includes collation and analysis of incidents, infections and complaints, carrying out regular resident and family satisfaction surveys and internal audits, and reporting outcomes. Where areas for improvement are identified these are documented and actions are monitored for implementation.</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data and benchmarking with eight other age care facilities. Quality data and information is reported and discussed at regular health and safety, infection control, restraint and quality and risk team meetings, and general staff meetings. Staff reported their involvement in quality and risk management activities through audit activities, training and information shared at meetings. The manager notifies all staff of corrective actions or policy/process changes by memos and verbally at meetings. Review of the most recent resident and family satisfaction surveys revealed no significant issues and moderate to high satisfaction.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There is a current risk management plan which is monitored by the manager and the Board. The manager is familiar with the Health and Safety at Work Act (2015) and described processes for the identification, monitoring, review and reporting of risks and development of mitigation strategies. There have been no injuries reported to Worksafe NZ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 forms reviewed from 2019 revealed clear descriptions of the event, that the incidents were reviewed and investigated by the quality officer and the facility manager, and where necessary action plans developed. There was evidence that actions are monitored for implementation. Adverse event data is collated, analysed and reported to staff. Falls, urinary tract infections, skin tears and hospital admissions are benchmarked with the eight other facilities who belong to CTCA.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Section 31 notification to the Ministry of Health and the DHB was submitted in October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processes are based on good employment practice and relevant legislation. The previous corrective action regarding police vetting is resolved. The recruitment process includes referee checks, police vetting and validation of qualifications and practising certificates (APCs), where required.   A sample of five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followed by an initial performance review.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Records reviewed demonstrated completion of the required training and completion of annual performance appraisals. All RNs and other key personnel maintain competency in first aid and CPR.  Four of the 35 carers have obtained level 4 of the National Certificate in Health and Wellbeing, eleven have obtained level 3, nine level 2 and 11 are at level 1.</w:t>
            </w:r>
          </w:p>
          <w:p w:rsidR="00EB7645" w:rsidRPr="00BE00C7" w:rsidP="00BE00C7">
            <w:pPr>
              <w:pStyle w:val="OutcomeDescription"/>
              <w:spacing w:before="120" w:after="120"/>
              <w:rPr>
                <w:rFonts w:cs="Arial"/>
                <w:b w:val="0"/>
                <w:lang w:eastAsia="en-NZ"/>
              </w:rPr>
            </w:pPr>
            <w:r w:rsidRPr="00BE00C7">
              <w:rPr>
                <w:rFonts w:cs="Arial"/>
                <w:b w:val="0"/>
                <w:lang w:eastAsia="en-NZ"/>
              </w:rPr>
              <w:t>The GM and senior RN are maintaining annual competency requirements to undertake interRAI assessments, and two more RNs are enrolled to begin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service provider adjusts staffing levels to meet the changing needs of residents.  An afterhours on call roster is in place, and staff reported immediate access to advice is available when needed. Staff interviewed said there were sufficient number of staff rostered on all duties to meet the needs of residents.  Observations and review of a four-week roster cycle and interviews with residents and their family supported this. There is an effective system to replace staff when there are unplanned absences. Four RN’s have had to be replaced in the past year. The GM said it was an ongoing challenge to recruit and retain RN’s. At least one staff member on duty has a current first aid certificate and there is 24/7 RN coverage.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at Moana House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member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were stored securely in accordance with requirements. Controlled drugs were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electronic authorisation and date recorded on the commencement and discontinuation of medicines and all requirements for pro re nata (PRN) medicines met. The required three-monthly GP review was verified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 medications at the time of audit; however, appropriate processes were in place to ensure this can be managed in a safe manner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general manager (GM) and recorded on an accident/incident form. The resident and/or the designated representative are advised. There was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seldom used; however, if needed, instructions and authorisations meet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at Moana House by a cook and is in line with recognised nutritional guidelines for older people. The menu follows summer and winter patterns and was reviewed on the 25 November 2019 by a qualified dietitian.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registered with the Thames Coromandel District Council. A verification audit of the food control plan was undertaken on the 3 May 2019. Four areas were identified as requiring corrective action and these have been evidenced as having been addressed. The food control plan is registered for a further eighteen months.</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residents’ meetings minutes. Any areas of dissatisfaction were promptly responded to. Residents were seen to be given time to eat their meal in an unhurried fashion and those requiring assistance had this provided. There were enough staff on duty in the dining rooms at mealtimes to ensure appropriate assistance was available to residents as needed. Residents feedback at the observed mealtime, was complimentary of the meal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at Moana House verified that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at Moana House is provided six days a week, by a combination of a full-time recreation co-ordinator, three part time activity assistants and several volunteers.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Several lounges are located throughout the facility and an array of activities were observed to be in progress.  There are also smaller lounge spaces where individuals can read or meet quietly. Activities reflected residents’ goals, ordinary patterns of life and included normal community activities. Individual, group activities and regular events are offered. Examples included a range of community groups that visit at Moana House, attendance at community events, lunches at the RSA, van outings, visiting entertainers, crafts, quiz sessions and daily news updates. ‘Happy hour’ is held every day at Moana House and family, friends, village residents and volunteers are welcome to attend.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bi-monthly residents’ meetings and minutes indicated residents’ input is sought and responded to. Resident and family satisfaction surveys demonstrated satisfaction with the activities programme. Any suggestions are used to improve the range of activities offered. Residents interviewed confirmed they find the programme meets their needs. Volunteers assist with activities and were complimentary and supportive of the activities programme at Moana House.</w:t>
            </w:r>
          </w:p>
          <w:p w:rsidR="00EB7645" w:rsidRPr="00BE00C7" w:rsidP="00BE00C7">
            <w:pPr>
              <w:pStyle w:val="OutcomeDescription"/>
              <w:spacing w:before="120" w:after="120"/>
              <w:rPr>
                <w:rFonts w:cs="Arial"/>
                <w:b w:val="0"/>
                <w:lang w:eastAsia="en-NZ"/>
              </w:rPr>
            </w:pPr>
            <w:r w:rsidRPr="00BE00C7">
              <w:rPr>
                <w:rFonts w:cs="Arial"/>
                <w:b w:val="0"/>
                <w:lang w:eastAsia="en-NZ"/>
              </w:rPr>
              <w:t>A resident under 65 years is enabled to participate in community activities of interest and home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were sighted of ‘SOAP’ documents being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of residents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current Building Warrant of Fitness (BWOF) due to expire on 16 June 2020.  Appropriate systems are in place to ensure the residents’ physical environment and facilities are fit for their purpose and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Moana House undertakes surveillance of infections as recommended for long term care facilities, with infection definitions reflecting a focus on symptoms rather than laboratory results. These included urinary tract, soft tissue, fungal, eye, gastro-intestinal, the upper and lower respiratory tract infections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by the senior RN. The senior RN and GM review all reported infections, these are then discussed with the infection control committee at their bimonthly meetings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norovirus outbreaks at Moana House in the past six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is maintaining its goal of no restraint. Five residents were using enablers at their request, on the day of audit.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65"/>
        <w:gridCol w:w="1280"/>
        <w:gridCol w:w="5841"/>
        <w:gridCol w:w="545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CTCA is a business entity comprising nine aged care facilities who share common factors, such as being located rurally and governed by not for profit organisations.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Members of the CTCA group have experienced significant improvements in their governance and business operations which leads to improving resident care. The sharing of innovative ideas and strategies across the facilities, cost savings in bulk purchasing for goods, power and insurance, use of the same bank and increased borrowing capacity, shared staff and board training and peer support for RNs and managers is of benefit to all, as evidenced in the reports generated across the group and through interviews. </w:t>
            </w:r>
          </w:p>
          <w:p w:rsidR="00EB7645" w:rsidRPr="00BE00C7" w:rsidP="00BE00C7">
            <w:pPr>
              <w:pStyle w:val="OutcomeDescription"/>
              <w:spacing w:before="120" w:after="120"/>
              <w:rPr>
                <w:rFonts w:cs="Arial"/>
                <w:b w:val="0"/>
                <w:lang w:eastAsia="en-NZ"/>
              </w:rPr>
            </w:pPr>
            <w:r w:rsidRPr="00BE00C7">
              <w:rPr>
                <w:rFonts w:cs="Arial"/>
                <w:b w:val="0"/>
                <w:lang w:eastAsia="en-NZ"/>
              </w:rPr>
              <w:t>This group has elected its own governance subcommittee. Meetings between the DHB and the chairperson of the governance committee resulted in Moana House piloting the use of a DHB based patient information portal. This allowed registered nursing staff to immediately access information about their residents who had been seen by medical staff at Waikato Hospital. This enables staff to initiate prescribed treatments and/or plan and arrange follow up appointments ordered by specialists and keep family informed about progress.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are immediately updated and informed about outcomes from specialist appointments at Waikato Hospital as a result of staff being able to access the DHB based patient information portal. This has significantly reduced unnecessary delays in beginning treatment or ordering further tests and follow up. The DHB have evaluated this as effective and authorised access is continuing.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collegiality being built across all governing bodies and facility managers in the CTCA group is providing valuable peer support, generating innovation and ideas and providing strategic direction for all members. One of the members has recently built and opened a dementia unit as a direct result of the information and support provided within the group. This was evidenced by review of the group reports, interviews with a board member and the manager. </w:t>
            </w:r>
          </w:p>
          <w:p w:rsidR="00EB7645" w:rsidRPr="00BE00C7" w:rsidP="00BE00C7">
            <w:pPr>
              <w:pStyle w:val="OutcomeDescription"/>
              <w:spacing w:before="120" w:after="120"/>
              <w:rPr>
                <w:rFonts w:cs="Arial"/>
                <w:b w:val="0"/>
                <w:lang w:eastAsia="en-NZ"/>
              </w:rPr>
            </w:pPr>
            <w:r w:rsidRPr="00BE00C7">
              <w:rPr>
                <w:rFonts w:cs="Arial"/>
                <w:b w:val="0"/>
                <w:lang w:eastAsia="en-NZ"/>
              </w:rPr>
              <w:t>The group are regularly holding shared training sessions for care staff to attend which is cost efficient, provides more training opportunities and has fostered the participants’ commitment to progress and achieve higher levels of education. Four of the 35 care staff employed have now achieved level 4 of the National Certificate in Health and Wellbeing. Eleven carers have completed level 3, nine have completed level 2 and eleven are at level 1. All care staff are engaged in the education programme.</w:t>
            </w:r>
          </w:p>
          <w:p w:rsidR="00EB7645" w:rsidRPr="00BE00C7" w:rsidP="00BE00C7">
            <w:pPr>
              <w:pStyle w:val="OutcomeDescription"/>
              <w:spacing w:before="120" w:after="120"/>
              <w:rPr>
                <w:rFonts w:cs="Arial"/>
                <w:b w:val="0"/>
                <w:lang w:eastAsia="en-NZ"/>
              </w:rPr>
            </w:pPr>
            <w:r w:rsidRPr="00BE00C7">
              <w:rPr>
                <w:rFonts w:cs="Arial"/>
                <w:b w:val="0"/>
                <w:lang w:eastAsia="en-NZ"/>
              </w:rPr>
              <w:t>The cost benefits for the group are measured in savings gained from group discounts for insurance, bank fees, power supply and bulk purchasing for essential supplies such as continence products, chemicals and food supplies.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Moana House Trust Board - Moana House</w:t>
    </w:r>
    <w:bookmarkEnd w:id="58"/>
    <w:r>
      <w:rPr>
        <w:rFonts w:cs="Arial"/>
        <w:sz w:val="16"/>
        <w:szCs w:val="20"/>
      </w:rPr>
      <w:tab/>
      <w:t xml:space="preserve">Date of Audit: </w:t>
    </w:r>
    <w:bookmarkStart w:id="59" w:name="AuditStartDate1"/>
    <w:r>
      <w:rPr>
        <w:rFonts w:cs="Arial"/>
        <w:sz w:val="16"/>
        <w:szCs w:val="20"/>
      </w:rPr>
      <w:t>2 December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