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George Manning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George Manning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January 2020</w:t>
      </w:r>
      <w:bookmarkEnd w:id="7"/>
      <w:r w:rsidRPr="009418D4">
        <w:rPr>
          <w:rFonts w:cs="Arial"/>
        </w:rPr>
        <w:tab/>
        <w:t xml:space="preserve">End date: </w:t>
      </w:r>
      <w:bookmarkStart w:id="8" w:name="AuditEndDate"/>
      <w:r w:rsidR="00A4268A">
        <w:rPr>
          <w:rFonts w:cs="Arial"/>
        </w:rPr>
        <w:t>17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George Manning Lifecare provides rest home and hospital level care for up to 86 residents. The service is operated by Heritage Lifecare Limited and managed by a care home and village manager and a clinical services manager.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There were no areas requiring improvement identified during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formal interpreting services if required and family and communication cards are utilised.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included the scope, direction, goals, values and mission statement of the organisation.  Monitoring of the services provided to the governing body was regular and effective.</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included regular individual performance review. Staffing levels and skill mix met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admitted to George Manning Lifecare have their needs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were individualised, based on a comprehensive and integrated range of clinical information. Short term care plans were developed to manage any new problems that arise. All residents’ files reviewed demonstrated that needs, goals and outcomes were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provided residents with a variety of individual and group activities and maintained their links with the community. A facility van is available for outings.  </w:t>
      </w:r>
    </w:p>
    <w:p w:rsidRPr="00A4268A" w:rsidP="00621629">
      <w:pPr>
        <w:spacing w:before="240" w:line="276" w:lineRule="auto"/>
        <w:rPr>
          <w:rFonts w:eastAsia="Calibri"/>
        </w:rPr>
      </w:pPr>
      <w:r w:rsidRPr="00A4268A">
        <w:rPr>
          <w:rFonts w:eastAsia="Calibri"/>
        </w:rPr>
        <w:t>Medicines were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enablers for two residents and six restraints for four residents were in use at the time of audit. An assessment, monitoring process with regular reviews occurs. Use of enablers is voluntary for the safety of residents in response to individual requests.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with data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45"/>
        <w:gridCol w:w="1280"/>
        <w:gridCol w:w="99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have been received over the past year and that actions taken, through to an agreed resolution, were documented and completed within the required timeframes. Action plans showed any required follow up and improvements have been made where possible. The most recent complaint is in process. The care home and village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Health and Disability Commissioner’s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most residents able to speak English. One resident does not speak English and the use of family members and communication cards is effective in meeting her communication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was site specific to George Manning Lifecare, reviewed annually and outlined the purpose, values, scope, direction and goals of the organisation, including goals specific to a person-centred approach to all services. The documents described annual and long-term objectives and associated operational plans. A sample of monthly reports to the support office showed adequate information to monitor performance was reported including financial performance, enquiries, occupancy, human resources, health and safety, compliance, risks and issues and property.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George Manning Lifecare is managed by a care home and village manager who holds relevant qualifications and had been in the role since 2017. Responsibilities and accountabilities are defined in a job description and individual employment agreement.  The manager confirmed knowledge of the sector, regulatory and reporting requirements and maintains currency through attendance at conferences and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Canterbury District Health Board (CDHB) for complex medical conditions, hospital and rest home level care, palliative care, long term chronic conditions (LTCC) and respite care. A Ministry of Health (MOH) contract for young person with a disability (YPD) and a MOH LTCC is also held. Eighty-four residents were receiving services under the contract (42 hospital level, including five LTCC and one palliative and 41 rest home level care including three MOH LTCC residents) at the time of audit. There were no residents under the YPD contract. There was one Accident Compensation Corporation (ACC) funded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George Manning Lifecare has a planned quality and risk system that reflected the principles of continuous quality improvement. This included management of incidents and complaints, audit activities, an annual resident satisfaction survey, monitoring of outcomes, and clinical incidents including infections and restraint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quality, health and safety and staff meetings. Staff reported their involvement in quality and risk management activities through audit activities, attendance at meetings and individual feedback. Relevant corrective actions are developed and implemented to address any shortfalls. Resident and family satisfaction surveys are completed annually. The most recent survey showed that the residents would like more vegetables in their meals; this initiated a discussion with the dietitian and the cook with implementation and resident meeting minutes and feedback confirmed the request had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were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village manager described the processes for the identification, monitoring, review and reporting of risks and development of mitigation strategies. The manager was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the support office via the organisation’s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described essential notification reporting requirements, including for pressure injuries. They advised there have been 15 notifications of significant events made to the Ministry of Health since the previous audit. Nine of these were relating to the new build of the facility and some issues with the fire and emergency alert system. There was one relating to a resident admitted to the local DHB hospital (refer criterion 1.3.3).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included referee checks, police vetting and validation of qualifications and practising certificates (APCs), where required. A sample of staff records reviewed confirmed the organisation’s policies were being consistently implemented and records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included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An external contractor is the assessor for the programme. All staff have either commenced or completed a Level 2 or Level 3 qualification. More than ten care staff have completed Level 4 with those on Level 3 commencing the Level 4 training. There were sufficient trained and competent registered nurses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was in place, with staff reporting that good access to advice was available when needed. Care staff reported there were adequate staff available to complete the work allocated to them. Residents and family interviewed supported this. Observations and review of four weeks of the roster cycle confirmed adequate staff cover had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George Manning Lifecare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were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Controlled drugs were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were in place to ensure this is managed in a safe manner,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George Manning Lifecare.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was reviewed by a qualified dietitian in October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was in place and registered with the Christchurch City Council. A verification audit was undertaken in September 2018. Three areas requiring corrective action were identified around training records, the requirement for daily temperature checks and thermometer calibrations. These areas have been addressed and the plan verified for 18 months.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Pre-prepared modified foods are provided by George Manning Lifecare.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residents’ meetings minutes. Any areas of dissatisfaction were promptly responded to. Residents were seen to be given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of George Manning Lifecare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The programme operates six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There is a facility van available for outings, however the van at George Manning Lifecare does not have a hoist. The facility borrows the van from another associated facility or hires a taxi van when the hoist is required to enable immobile residents to attend outings.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three times weekly outings, bowls, crafts, church services visiting entertainers, quiz sessions and daily news updates. The activities programme is discussed at the monthly residents’ meetings and minutes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residents under 65 years at George Manning Lifecare, and activities staff consider their needs when planning a programme that is appropriate for their age and interests. A younger resident has a dog residing onsite.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George Manning Lifecare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ongoing clinical assessments or as residents’ needs change. Evaluations are documented by the RN. Where progress is different from expected, the service responds by initiating changes to the plan of care. Examples were sighted of short-term care plans being regularly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January 2021) was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w:t>
            </w:r>
          </w:p>
          <w:p w:rsidR="00EB7645" w:rsidRPr="00BE00C7" w:rsidP="00BE00C7">
            <w:pPr>
              <w:pStyle w:val="OutcomeDescription"/>
              <w:spacing w:before="120" w:after="120"/>
              <w:rPr>
                <w:rFonts w:cs="Arial"/>
                <w:b w:val="0"/>
                <w:lang w:eastAsia="en-NZ"/>
              </w:rPr>
            </w:pPr>
            <w:r w:rsidRPr="00BE00C7">
              <w:rPr>
                <w:rFonts w:cs="Arial"/>
                <w:b w:val="0"/>
                <w:lang w:eastAsia="en-NZ"/>
              </w:rPr>
              <w:t>A norovirus outbreak at George Manning Lifecare in October 2019 saw 23 residents and four staff contract the infection. Public Health and the CDHB were notified. The facility went into ‘lockdown’ and isolation strategies were put in place. The infection lasted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provided guidance on the safe use of both restraints and enablers. A registered nurse (RN) is the restraint coordinator and provided support and oversight for enabler and restraint management in the facility and demonstrated a sound understanding of the organisation’s policies, procedures and practice and 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four residents were using a total of six restraints (bedrails, fallout chair, brief harness, lap belts) and two residents were using two enablers (bedrails and a lap belt in an electric chair). A detailed process is followed for the assessment, monitoring and use of restraints, including documenting in the restraint/enabler register. The process is the same for enablers as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George Manning House</w:t>
    </w:r>
    <w:bookmarkEnd w:id="58"/>
    <w:r>
      <w:rPr>
        <w:rFonts w:cs="Arial"/>
        <w:sz w:val="16"/>
        <w:szCs w:val="20"/>
      </w:rPr>
      <w:tab/>
      <w:t xml:space="preserve">Date of Audit: </w:t>
    </w:r>
    <w:bookmarkStart w:id="59" w:name="AuditStartDate1"/>
    <w:r>
      <w:rPr>
        <w:rFonts w:cs="Arial"/>
        <w:sz w:val="16"/>
        <w:szCs w:val="20"/>
      </w:rPr>
      <w:t>17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