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Vickery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Vickery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November 2019</w:t>
      </w:r>
      <w:bookmarkEnd w:id="7"/>
      <w:r w:rsidRPr="009418D4">
        <w:rPr>
          <w:rFonts w:cs="Arial"/>
        </w:rPr>
        <w:tab/>
        <w:t xml:space="preserve">End date: </w:t>
      </w:r>
      <w:bookmarkStart w:id="8" w:name="AuditEndDate"/>
      <w:r w:rsidR="00A4268A">
        <w:rPr>
          <w:rFonts w:cs="Arial"/>
        </w:rPr>
        <w:t>27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Presbyterian Support Southland - Vickery Court provides care for up to 88 residents across three service types – rest home, hospital (geriatric and medical) and residential disability (physical) services.  On the day of audit there were 84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the GP, staff and management.</w:t>
      </w:r>
    </w:p>
    <w:p w:rsidRPr="00A4268A">
      <w:pPr>
        <w:spacing w:before="240" w:line="276" w:lineRule="auto"/>
        <w:rPr>
          <w:rFonts w:eastAsia="Calibri"/>
        </w:rPr>
      </w:pPr>
      <w:r w:rsidRPr="00A4268A">
        <w:rPr>
          <w:rFonts w:eastAsia="Calibri"/>
        </w:rPr>
        <w:t>Vickery court is managed by an experienced facility manager (RN) who has been in her role since June 2019.  She is supported by a clinical manager and PSS support staff.</w:t>
      </w:r>
    </w:p>
    <w:p w:rsidRPr="00A4268A">
      <w:pPr>
        <w:spacing w:before="240" w:line="276" w:lineRule="auto"/>
        <w:rPr>
          <w:rFonts w:eastAsia="Calibri"/>
        </w:rPr>
      </w:pPr>
      <w:r w:rsidRPr="00A4268A">
        <w:rPr>
          <w:rFonts w:eastAsia="Calibri"/>
        </w:rPr>
        <w:t>This audit has identified shortfalls around meetings, care plan interventions, temperatures and equipment checks.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Relatives interviewed stated they feel well informed.  The rights of the resident and/or their family to make a complaint is understood, respected and upheld by the service.  A system for managing complaints is in place.  Residents, relatives and staff interviewed were all aware of the complaint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PSS Vickery Court have a documented quality and risk management system.  Corrective actions are developed and implemented.  The risk management programme includes managing adverse events and health and safety processes.  The service has an orientation programme that provides new staff with relevant information for safe work practice.  Ongoing education and training for staff is in place.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complete assessments, care plans and evaluations within the required timeframes.  Care plans demonstrated service integration.  Resident and relatives interviewed confirmed they were involved in the care planning process and review.  Care plans were updated for changes in health status.  The general practitioner or nurse practitioner completes an admission assessment and visits and reviews the residents at least three-monthly.</w:t>
      </w:r>
    </w:p>
    <w:p w:rsidRPr="00A4268A" w:rsidP="00621629">
      <w:pPr>
        <w:spacing w:before="240" w:line="276" w:lineRule="auto"/>
        <w:rPr>
          <w:rFonts w:eastAsia="Calibri"/>
        </w:rPr>
      </w:pPr>
      <w:r w:rsidRPr="00A4268A">
        <w:rPr>
          <w:rFonts w:eastAsia="Calibri"/>
        </w:rPr>
        <w:t xml:space="preserve">The activity programmes meet the abilities and recreational needs of the groups of residents.  Volunteers are involved in the programme.  Activities care plans were individualised for resident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All meals and baking are cooked on site.  A dietitian designs the menu.  Individual and special dietary needs are accommodated.  Residents interviewed responded favourably to the food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Preventative and reactive maintenance occurs.  The facility is spacious to allow residents using mobility aids to move around freely.  All communal areas are accessible to residents.  External areas are well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 restraint policy includes comprehensive restraint procedures.  The documented definition of restraint and enablers aligns with the definition in the standards.  There are no residents using enablers and one resident using restraint.  Staff are trained in restraint minimisation, challenging behaviour and de-escalation.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PSS Vickery Court continues to implement their infection surveillance programme.  Infection control issues are discussed at both in the infection control and quality/staff meetings.  The infection control programme is linked with the quality programme.  Two recent outbreaks were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around the complaints process is provided on admission.  A record of all complaints, both verbal and written is maintained by the facility manager on the complaints register.  One complaint received in 2018 and nine complaints from 2019 were reviewed.  All documentation reflected evidence of responding to the complaints in a timely manner with appropriate follow-up actions taken.  A copy of all correspondence is kept on file.  Staff interviewed (three registered nurses (RNs) one enrolled nurse (EN) five care workers, one activities coordinator, one cook and one maintenance man) confirmed that complaints and any required follow-up is discussed at staff meetings and reported they would ask complainants to discuss their concerns with the most senior person on duty.  Residents and relatives advised that they are aware of the complaints procedure and how to access forms and feel comfortable discussing any concerns with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(two rest home and two hospital) interviewed stated that they were welcomed on entry and were given time and explanation about the services and procedures.  The facility manager and clinical manager are available to residents and relatives and they promote an open-door policy.  Incident forms reviewed (seven hospital, three YPD and two rest home) in November 2019 evidenced that relatives had been notified on all occasions.  Four relatives, (one YPD, two hospital and on rest home) interviewed advised that they are notified of incidents and when residents’ health status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is part of the Presbyterian Support Southland (PSS) organisation.  The service is one of four aged care facilities governed by the PSS trust board.  The service is certified to provide care for up to 88 residents across three service types – rest home, hospital (geriatric and medical) and residential disability (physical) services.  On the day of audit there were 84 residents - 34 rest home residents (including one respite) and 50 hospital residents (seven residents under the residential disability – physical contract). </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(PSS) group have developed a charter that sets out its vision and values.  Vickery Court have identified vision, values and goals.  The quality plan for 2018 to 2020 documents each goal with initiatives and key performance targets to be implemented.  The organisational quality programme is managed by the facility manager and quality manager.  The facility manager is responsible for the implementation of the quality programme at Vickery Court.  The service has an annual planner/schedule, which includes audits, meetings and education.  The strategic plan, business plan and quality plan all include the philosophy of support for PSS.  The management group of Enliven provide governance and support to the chief executive of PSS who in turn supports the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(RN) has been in the role since June 2019 and has previous management experience in management of another PSS facility.  She is supported by a clinical manager, who has been in the position since June 2019 and has previously worked as a coordinator and senior nurse positions at PSS facilities.  They are supported by an experienced quality manager (RN) who has been in her role for six years, a team of nurses, and experienced care workers.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completed a minimum of eight hours of professional development relating to the management of an aged care service in the past twelve months including the NZCA conference, managing disciplinary matters, assessment skills and change management.  The clinical manager has completed infection control training, external education on pressure injury prevention and wound care, assessment skills and change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manager supports Vickery Court in implementing the quality programme.  Policies and procedures are current and updated regularly by the PSS office.  Internal audits are completed as per the internal audit schedule.  Any area of non-compliance includes the implementation of a corrective action plan with sign-off by the facility manager when it is completed.  Discussions with the managers, nurses and caregivers confirmed that the quality programme is implemented, and results are communicated to staff and relevant people.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been performed according to schedule, corrective actions have been identified and signed off when completed and discussed at meetings.  There is a health and safety meeting, followed by a quality/infection control meeting, RN/EN meetings, care worker meetings and all staff meetings.  Meetings have not been held according to schedule due to the changes in management team.  Meeting minutes reviewed do not evidence discussions around quality data, tends and analysis.  The nurses and care workers interviewed confirmed current information is discussed at handovers.  There are weekly clinical meetings with clinical staff, and nurse practitioner to review residents of concern and plan for the weekend ahead.  Review of the meeting minutes showed individual review of resident medical condition, medication reviews, referrals to other health services and current treatment plans.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changes made within the facility to rearrange residents into a rest home (wing 1) and hospital (wings 2 and 3) to provide the best care and streamline staffing.  The residents, relatives, caregivers and registered nurses interviewed feel the changes have had a positive effect.  There has been a high staff turnover due to the changes within the management team and the restructuring within the building.  Vickery Court has been working hard to recruit and retain staff.</w:t>
            </w:r>
          </w:p>
          <w:p w:rsidR="00EB7645" w:rsidRPr="00BE00C7" w:rsidP="00BE00C7">
            <w:pPr>
              <w:pStyle w:val="OutcomeDescription"/>
              <w:spacing w:before="120" w:after="120"/>
              <w:rPr>
                <w:rFonts w:cs="Arial"/>
                <w:b w:val="0"/>
                <w:lang w:eastAsia="en-NZ"/>
              </w:rPr>
            </w:pPr>
            <w:r w:rsidRPr="00BE00C7">
              <w:rPr>
                <w:rFonts w:cs="Arial"/>
                <w:b w:val="0"/>
                <w:lang w:eastAsia="en-NZ"/>
              </w:rPr>
              <w:t>Current quality initiatives include continuing pressure injury education, focusing on consistent orientation for all staff, and continuing with palliative care education for nurses.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PSS health and safety committee includes representatives from all facilities and includes senior management quality manager and procurement and property manager meet quarterly.  The quality manager has a diploma in health and safety.  PSS have contracted a health and safety consultant who also attends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Vickery Court the facility manager is the health and safety officer.  The health and safety officer and three members out of nine members (one from each department) of the committee have completed external health and safety training.  A recent initiative has been to separate the health and safety meeting from the quality/infection control meeting.  Vickery Court collects information on resident incidents and accidents as well as staff incidents/accidents and provides follow-up where required.  Hazards are identified on electronic hazard identification forms.  The hazard register is relevant to the service and is currently under review on the GOSH electronic system.  Contractor management as part of the health and safety programme, has been implemented.  The committee is focusing on staff wellness.  Minutes are available to staff, actions to be completed are discussed at the quality/infection control, RN/EN, care worker and all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PSS is proactive in providing consultation with residents/relatives and staff through regular newsletters 'people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surveys are completed in April 2019; however, data has not been collated or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Accidents and near misses are investigated by the manager and clinical manager and analysis of incident trends occurs.  The service collects incident and accident data which was not always discussed at relevant meetings (link 1.2.3.6) but is available to staff on noticeboards.  </w:t>
            </w:r>
          </w:p>
          <w:p w:rsidR="00EB7645" w:rsidRPr="00BE00C7" w:rsidP="00BE00C7">
            <w:pPr>
              <w:pStyle w:val="OutcomeDescription"/>
              <w:spacing w:before="120" w:after="120"/>
              <w:rPr>
                <w:rFonts w:cs="Arial"/>
                <w:b w:val="0"/>
                <w:lang w:eastAsia="en-NZ"/>
              </w:rPr>
            </w:pPr>
            <w:r w:rsidRPr="00BE00C7">
              <w:rPr>
                <w:rFonts w:cs="Arial"/>
                <w:b w:val="0"/>
                <w:lang w:eastAsia="en-NZ"/>
              </w:rPr>
              <w:t>Ten electronic incident reports were reviewed.  All reports documented NOK notification.  There was evidence of registered nurse follow-up and neuro observations were completed for unwitnessed falls.  The incident reports are reviewed by the facility manager (FM) and clinical manager (CM).  Corrective actions or follow-up is completed by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and clinical manager identified a good understanding of reporting requirements.  There has been a notification made to public health during the two outbreaks in June and July 2019.  There have been two section 31 notifications for the unstageable pressure injury and a planned power outage in 2019.  One section 31 was completed in 2018 for a deep tissue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staff training and development to guide management to ensure that the most appropriate people are recruited to vacant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reviewed (one EN, one DT, one cook and two care workers), all had relevant documentation relating to employment, and relevant checks were completed to validate individual qualifications and experience.  Of the files reviewed there was one performance appraisal which was not due for review (new staff), and the rest all had current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role specific orientation programme in place that provides new staff with relevant information for safe work practice.  Staff interviewed were able to describe the orientation process and reported new staff were adequately orientated to the service.  The orientation process is an integrated programme, which care workers achieve level 3 Careerforce Health and Wellbeing NZQA on completion.  There is a minimum of one staff member with a current first aid certificate on every shift.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 which covers all contractual requirements, that is scheduled over two years at an organisation level and being fully implemented.  There is a staff training register, which shows attendance records that exceeds eight hours annually.  A competency programme is in place that includes annual medication competency for staff administering medications.  Annual competencies are also required for staff around manual handling, hoists, restraint and infection control, records reflect this is occurring as planned.  The training plan and PSS encouragement towards staff to further education exceeds expectations.  Staff have access to two online education systems and are provided with a plan of sessions to be completed during the month.  Currently there are 37 care workers with Level 3 Careerforce qualifications and five care workers with Level 4.  Four RNs, one EN and the managers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registered nurses and care workers are encouraged to attend external training including conferences, seminars and sessions provided by PSS and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policy includes the rationale for staff rostering and skill mix.  Interviews with residents, relatives and staff confirmed that staffing levels are sufficient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manager work 40 hours per week Monday to Friday and are available on call for any emergency issues or clinical support.  Caregivers interviewed confirmed that staff are replaced when off sick.  A staff availability list ensures that staff sickness and vacant shifts are covered.  The long shifts are covered by senior caregivers with medication competencies.  The roster is overseen by the administrator and the manager to ensure strong teams are in each wing covering each shift.  The registered nurse on duty is the fire warden for each area.  All nurses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three wings (1, 2 and 3).</w:t>
            </w:r>
          </w:p>
          <w:p w:rsidR="00EB7645" w:rsidRPr="00BE00C7" w:rsidP="00BE00C7">
            <w:pPr>
              <w:pStyle w:val="OutcomeDescription"/>
              <w:spacing w:before="120" w:after="120"/>
              <w:rPr>
                <w:rFonts w:cs="Arial"/>
                <w:b w:val="0"/>
                <w:lang w:eastAsia="en-NZ"/>
              </w:rPr>
            </w:pPr>
            <w:r w:rsidRPr="00BE00C7">
              <w:rPr>
                <w:rFonts w:cs="Arial"/>
                <w:b w:val="0"/>
                <w:lang w:eastAsia="en-NZ"/>
              </w:rPr>
              <w:t>Wing 1 (Rest home) has 32 residents including three low level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An enrolled nurse is rostered across all shifts.  They are supported by three caregivers on the morning shift; 2x senior caregivers 7 am to 3 pm, and one caregiver 7 am to 11 am.  The afternoon shift has three caregivers: one senior caregiver is rostered from 3 pm to 11 pm, one care from 4 pm to 8.15 pm and one caregiver 5.30 pm to 8.30 pm.</w:t>
            </w:r>
          </w:p>
          <w:p w:rsidR="00EB7645" w:rsidRPr="00BE00C7" w:rsidP="00BE00C7">
            <w:pPr>
              <w:pStyle w:val="OutcomeDescription"/>
              <w:spacing w:before="120" w:after="120"/>
              <w:rPr>
                <w:rFonts w:cs="Arial"/>
                <w:b w:val="0"/>
                <w:lang w:eastAsia="en-NZ"/>
              </w:rPr>
            </w:pPr>
            <w:r w:rsidRPr="00BE00C7">
              <w:rPr>
                <w:rFonts w:cs="Arial"/>
                <w:b w:val="0"/>
                <w:lang w:eastAsia="en-NZ"/>
              </w:rPr>
              <w:t>Wing 2 (Hospital) has 25 residents including four YPD residents.</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rostered from 6.45 am to 3.15 pm and one enrolled nurse or level 4 qualified senior caregiver is rostered 7 am to 3 pm and is the team lead support.</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four caregivers; 2x 7 am to 3 pm, 1x 7 am to 1.30 pm and 1x 7.30 am to 11.30 am.  The afternoon shift has one RN rostered from 2.45 pm to 11.15 pm.  One EN or level 4 qualified senior caregiver is rostered from 3 pm to 11 pm.  They are supported by three caregivers; 1x 3 pm to 10 pm, 1x 4 pm to 11 pm and 1x 5 pm to 10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Wing 3 (Hospital) has 27 residents including three YPD and four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rostered across all shifts.  They are supported by four caregivers in the morning; 1x 6.30 am to 3 pm, 1x 7 am to 3 pm, 1x 7 am to 1.30 pm and 1x 7.30 am to 11.30 am.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three caregivers; 1x 3 pm to 10 pm, 1x 4 pm to 11 pm and 1x 5 pm to 10 pm.</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is covered by one registered nurse and three caregivers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clinical manager share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clinical staff, the activities team are available from 8.30 am to 4 pm for three days a week and 9 am to 4.30 pm for three days across Sunday to Friday.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robotic packs for regular and blister packs for ‘as required’ (PRN) medications.  Medication reconciliation is completed by two RNs on delivery of medication and any errors are fed back to pharmacy.  All medications were securely and appropriately stored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The service uses an electronic medication management system.  All medication charts have photograph identification, allergies and three-month GP reviews documented.  Indications for use had been documented for all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senior staff who administer medication have been assessed for competency on an annual basis.  Education around safe medication administration has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in regard to medicine administration.  Standing orders are not used.  There were two rest home residents self-medicating inhalers at the time of audit, both had competencies in place which had been reviewed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weekly in the rest home area and were within acceptable ranges, however the fridge thermometer was not working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commercial kitchen is large and well equipped.  The head chef is supported by two cooks and five kitchenhands, to prepare and provide all meals on site.  A four-weekly seasonal menu had been designed and reviewed by a dietitian at organisational level.  Fridge and freezer temperatures are checked and recorded daily in the main kitchen and kitchenettes.  End-cooked food temperatures are monitored.  All foods were date labelled.  A cleaning schedule is maintained.  Staff were observed wearing appropriate protective clothing.  Chemicals were stored safely in the kitchen.  A current food control was in place expiring 26 March 2020.  Staff have been trained in safe food handling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receive a resident dietary profile for all new admissions and is notified of dietary changes.  Soft/pureed and diabetic desserts and alternative foods for known dislikes are provided.  Food is transferred to the hospital dining room in hot boxes and is served from bain maries.  The rest home dining area is adjacent to the kitchen and meals are served from the bain marie in the kitchen.  Staff were observed sitting with the residents and assisting them with meals.  Adequate snacks were sighted in the kitchenette fridges and cupboards.  Special equipment was available, and this was assessed as part of the initial nursing assessment.  Residents and relatives interviewed reported satisfaction with food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food service initiatives include management serving a cooked breakfast once a month for residents and exploring takeaway foods such as Chinese and Indian if the activities team are having a ‘themed’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Communication to the GP and the NP for residents' change in health status were sighted in the resident’s files, however not all interventions were documented in the care plans.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rooms.  GPs are notified of all wounds.  Wound charts are paper-based for the sample of current wounds reviewed.  The sample of wound charts reviewed (Wing 1 - 4x skin tears and 1x stage 1 pressure injury; Wing 2 - 5x skin tears and 4x stage 1 pressure injuries, 2x venous ulcers and one abrasion; Wing 3 - 8x skin tears, one stage 1 PI and a superficial skin split; Wing 2 - 5x skin tears and 4x stage 1 pressure injuries, 2x venous ulcers and one abrasion).</w:t>
            </w:r>
          </w:p>
          <w:p w:rsidR="00EB7645" w:rsidRPr="00BE00C7" w:rsidP="00BE00C7">
            <w:pPr>
              <w:pStyle w:val="OutcomeDescription"/>
              <w:spacing w:before="120" w:after="120"/>
              <w:rPr>
                <w:rFonts w:cs="Arial"/>
                <w:b w:val="0"/>
                <w:lang w:eastAsia="en-NZ"/>
              </w:rPr>
            </w:pPr>
            <w:r w:rsidRPr="00BE00C7">
              <w:rPr>
                <w:rFonts w:cs="Arial"/>
                <w:b w:val="0"/>
                <w:lang w:eastAsia="en-NZ"/>
              </w:rPr>
              <w:t>Wing 3 hospital 2 abrasions, 8x skin tears, one stage 1 PI a scratch and a superficial skin split included assessments, plans and evaluations which document progression and deterioration of wounds.  There was one facility acquired unstageable pressure injury which was being reviewed by the wound specialist.  A section 31 notification has been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included (but are not limited to): monthly weight, blood pressure and pulse, food and fluid charts, repositioning,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activities coordinators plan and lead activities.  Both have a current first aid certificate and are working towards a qualification on diversional therapy.  Activities are run over five days a week.  There is a combined monthly planner which is printed weekly, each resident has a copy available and daily activities are posted on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Activity/quality of life assessments and ‘key to me’ questionnaires are completed for residents on admission.  The quality of life plan in the files reviewed had been evaluated at least six-monthly with the care plan review.  The resident/family/whānau as appropriate, are involved in the development of the activity plan.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oversee the programme to ensure a wide range of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‘sit ‘n fit’ exercise programme, ‘community’ exercises for rest home and hospital residents are held due to ability and need, there are small music therapy groups in the hospital wings and all residents are involved in the rest home wing.  The programme includes a variety of group games, schools visiting, church services, and yoga.  Special activities occurring at Vickery court in preparation for Christmas include the kapa haka group visiting, decorating the facility and the residents have a choir who are practicing Christmas carols.  Recently there was an Indian theme, Indian dancers visited and there was an Indian meal.  There are regular outings for residents in the facility van.  </w:t>
            </w:r>
          </w:p>
          <w:p w:rsidR="00EB7645" w:rsidRPr="00BE00C7" w:rsidP="00BE00C7">
            <w:pPr>
              <w:pStyle w:val="OutcomeDescription"/>
              <w:spacing w:before="120" w:after="120"/>
              <w:rPr>
                <w:rFonts w:cs="Arial"/>
                <w:b w:val="0"/>
                <w:lang w:eastAsia="en-NZ"/>
              </w:rPr>
            </w:pPr>
            <w:r w:rsidRPr="00BE00C7">
              <w:rPr>
                <w:rFonts w:cs="Arial"/>
                <w:b w:val="0"/>
                <w:lang w:eastAsia="en-NZ"/>
              </w:rPr>
              <w:t>The younger residents are encouraged to attend community groups they are involved in such as swimming groups, art groups and going to the library.  The younger residents attend the in-house activities as they choose.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were held monthly and open to relatives to attend.  Residents/relatives provide feedback on the programme through the resident meetings and satisfaction surveys.  Residents interviewed were complimentary of the activities programme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RNs six-monthly, or when changes to care occurred.  Written evaluations described the residents progress against the residents (as appropriate) identified goals.  Care plans in place for short-term needs were evaluated and either resolved or added to the long-term care plan as an ongoing problem.  The multidisciplinary review involves the RN, GP, physiotherapist (if appropriate), nurse practitioner, activities staff and resident/relatives.  Relatives are notified of the outcome of the review if unable to attend.  There is at least a three-monthly review by the medical practitioner.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expiring on 1 February 2020.  However, not all equipment has been tagged, tested and calibrated in the last year.  The facility is spacious with side corridors and space in resident rooms for the use of equipment.  There are large communal areas for residents to sit, and smaller seating areas throughout the facility for residents and relatives to enjoy.  External areas are well maintained.  Three of four double rooms are occupied by married couples.  One room had single occupancy; all resident rooms all have a view of the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PSS infection control policies.  The infection control surveillance programme is appropriate to the size and complexity of the service.  Infection control policies and procedures describe surveillance methodology for monitoring of infections.  The infection control programme is linked with the quality programme.  Individual electronic infection report forms were completed for all infections.  Infections were included in a monthly register, and a monthly report is completed by the infection control coordinator.  The data was reported to both the infection control and quality meetings.  If there is an emergent issue, it is acted upon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(June and July) 2019.  Both were well managed and documented.  Notifications were appropriate and timely.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The restraint coordinator (clinical manager) attends restraint approval committee meetings.  The use of enablers/restraint is discussed at the quarterly meetings and six weekly clinical,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was using bedrails as a restraint.  Consents were signed and reviewed appropriately.  The electronic Procura system has a separate care plan for restraint.  Care plans document interventions including two hourly monitoring while bedrails are in use and this was consistently completed on paper format then scanned to the electronic system.  Staff are provided with training and/or competencies in restraint minimisation, challenging behaviour and de-escalation.  Restraint use is included in orientation for clinical staff.  There were no residents using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6"/>
        <w:gridCol w:w="1280"/>
        <w:gridCol w:w="5282"/>
        <w:gridCol w:w="1882"/>
        <w:gridCol w:w="2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have been held, however due to the management changes and the changes within the facility, meetings have not been held according to schedule and do not reflect discussions around quality data.  The nurses, care workers and activities staff interviewed feel informed of changes and confirmed data in infections incidents and corrective actions following internal audits are discussed at handovers at the time and are available to staff on noticeboards.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Minutes of meetings have not been held according to schedule.  </w:t>
            </w:r>
          </w:p>
          <w:p w:rsidR="00EB7645" w:rsidRPr="00BE00C7" w:rsidP="00BE00C7">
            <w:pPr>
              <w:pStyle w:val="OutcomeDescription"/>
              <w:spacing w:before="120" w:after="120"/>
              <w:rPr>
                <w:rFonts w:cs="Arial"/>
                <w:b w:val="0"/>
                <w:lang w:eastAsia="en-NZ"/>
              </w:rPr>
            </w:pPr>
            <w:r w:rsidRPr="00BE00C7">
              <w:rPr>
                <w:rFonts w:cs="Arial"/>
                <w:b w:val="0"/>
                <w:lang w:eastAsia="en-NZ"/>
              </w:rPr>
              <w:t>(ii) Minutes of staff meetings and RN/EN meetings do not evidence discussion around trending or analysis of quality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2019 survey has not been collated, and therefore outcomes have not been communicated.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(ii).  Ensure meetings are held according to schedule and reflect the discussions held.  (iii) Ensure the satisfaction survey is collated, actions identified and implemented and shared with staff/residents/relatives.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Medications in the two medication rooms are stored appropriately.  The electronic medication system evidenced appropriate prescribing and medication rounds sighted evidenced safe practice.  Temperatures were recorded for the fridges on a weekly basis and the room temperatures were monitored, however the medication thermometer in the hospital unit was not functioning on the day of the audit.  This was addressed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fridge thermometer in the hospital medication room was not working on the day of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monitor the thermometer and check it is working.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system has templated care plans to cover needs of the residents.  Each resident has a care plan in place, however not all care plans were individualised, and not all care plans contained instructions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 side effects of warfarin documented in care plan of a hospital resident.</w:t>
            </w:r>
          </w:p>
          <w:p w:rsidR="00EB7645" w:rsidRPr="00BE00C7" w:rsidP="00BE00C7">
            <w:pPr>
              <w:pStyle w:val="OutcomeDescription"/>
              <w:spacing w:before="120" w:after="120"/>
              <w:rPr>
                <w:rFonts w:cs="Arial"/>
                <w:b w:val="0"/>
                <w:lang w:eastAsia="en-NZ"/>
              </w:rPr>
            </w:pPr>
            <w:r w:rsidRPr="00BE00C7">
              <w:rPr>
                <w:rFonts w:cs="Arial"/>
                <w:b w:val="0"/>
                <w:lang w:eastAsia="en-NZ"/>
              </w:rPr>
              <w:t>ii)  No instruction around care of PEG tube, and cleaning of site in the care plan of a hospital resident.</w:t>
            </w:r>
          </w:p>
          <w:p w:rsidR="00EB7645" w:rsidRPr="00BE00C7" w:rsidP="00BE00C7">
            <w:pPr>
              <w:pStyle w:val="OutcomeDescription"/>
              <w:spacing w:before="120" w:after="120"/>
              <w:rPr>
                <w:rFonts w:cs="Arial"/>
                <w:b w:val="0"/>
                <w:lang w:eastAsia="en-NZ"/>
              </w:rPr>
            </w:pPr>
            <w:r w:rsidRPr="00BE00C7">
              <w:rPr>
                <w:rFonts w:cs="Arial"/>
                <w:b w:val="0"/>
                <w:lang w:eastAsia="en-NZ"/>
              </w:rPr>
              <w:t>iii) No individual de-escalation techniques in the care plan for a YPD resident with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iv) Behaviour care plan was not individualised for one younger person, and one rest home resident has no individualised pain management strategies</w:t>
            </w:r>
          </w:p>
          <w:p w:rsidR="00EB7645" w:rsidRPr="00BE00C7" w:rsidP="00BE00C7">
            <w:pPr>
              <w:pStyle w:val="OutcomeDescription"/>
              <w:spacing w:before="120" w:after="120"/>
              <w:rPr>
                <w:rFonts w:cs="Arial"/>
                <w:b w:val="0"/>
                <w:lang w:eastAsia="en-NZ"/>
              </w:rPr>
            </w:pPr>
            <w:r w:rsidRPr="00BE00C7">
              <w:rPr>
                <w:rFonts w:cs="Arial"/>
                <w:b w:val="0"/>
                <w:lang w:eastAsia="en-NZ"/>
              </w:rPr>
              <w:t>v)  Allied health professionals involved in residents care were not identified, and recommendations were not transferred to the care plan for one rest home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side effects of drugs alert staff to the associated risks.</w:t>
            </w:r>
          </w:p>
          <w:p w:rsidR="00EB7645" w:rsidRPr="00BE00C7" w:rsidP="00BE00C7">
            <w:pPr>
              <w:pStyle w:val="OutcomeDescription"/>
              <w:spacing w:before="120" w:after="120"/>
              <w:rPr>
                <w:rFonts w:cs="Arial"/>
                <w:b w:val="0"/>
                <w:lang w:eastAsia="en-NZ"/>
              </w:rPr>
            </w:pPr>
            <w:r w:rsidRPr="00BE00C7">
              <w:rPr>
                <w:rFonts w:cs="Arial"/>
                <w:b w:val="0"/>
                <w:lang w:eastAsia="en-NZ"/>
              </w:rPr>
              <w:t>ii) Ensure residents with enteral feeding tubes have instructions on how to care and look after these.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and iv) Ensure resident care plans are individualised and consider effective strategies for each specific resident.  </w:t>
            </w:r>
          </w:p>
          <w:p w:rsidR="00EB7645" w:rsidRPr="00BE00C7" w:rsidP="00BE00C7">
            <w:pPr>
              <w:pStyle w:val="OutcomeDescription"/>
              <w:spacing w:before="120" w:after="120"/>
              <w:rPr>
                <w:rFonts w:cs="Arial"/>
                <w:b w:val="0"/>
                <w:lang w:eastAsia="en-NZ"/>
              </w:rPr>
            </w:pPr>
            <w:r w:rsidRPr="00BE00C7">
              <w:rPr>
                <w:rFonts w:cs="Arial"/>
                <w:b w:val="0"/>
                <w:lang w:eastAsia="en-NZ"/>
              </w:rPr>
              <w:t>v) Ensure allied health members involved in resident care are identified and recommendations are transferred onto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in place; however, equipment was due to be calibrated in May 2019.  A copy of an email was sighted to evidence this has been arranged for January 2020, therefore a low finding.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standing hoists and three full body hoists sighted have not been calibrated or tagged/tested in the last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equipment in use is compliant with current regulations.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Vickery Court</w:t>
    </w:r>
    <w:bookmarkEnd w:id="58"/>
    <w:r>
      <w:rPr>
        <w:rFonts w:cs="Arial"/>
        <w:sz w:val="16"/>
        <w:szCs w:val="20"/>
      </w:rPr>
      <w:tab/>
      <w:t xml:space="preserve">Date of Audit: </w:t>
    </w:r>
    <w:bookmarkStart w:id="59" w:name="AuditStartDate1"/>
    <w:r>
      <w:rPr>
        <w:rFonts w:cs="Arial"/>
        <w:sz w:val="16"/>
        <w:szCs w:val="20"/>
      </w:rPr>
      <w:t>26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