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Karaka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Karaka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January 2020</w:t>
      </w:r>
      <w:bookmarkEnd w:id="7"/>
      <w:r w:rsidRPr="009418D4">
        <w:rPr>
          <w:rFonts w:cs="Arial"/>
        </w:rPr>
        <w:tab/>
        <w:t xml:space="preserve">End date: </w:t>
      </w:r>
      <w:bookmarkStart w:id="8" w:name="AuditEndDate"/>
      <w:r w:rsidR="00A4268A">
        <w:rPr>
          <w:rFonts w:cs="Arial"/>
        </w:rPr>
        <w:t>23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Karaka provides rest home and hospital (geriatric and medical) level care for up to 50 residents in the care centre and up to 20 rest home residents in the serviced apartments.  On the day of the audit, there were 56 residents.</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nurse practitioner. </w:t>
      </w:r>
    </w:p>
    <w:p w:rsidRPr="00A4268A">
      <w:pPr>
        <w:spacing w:before="240" w:line="276" w:lineRule="auto"/>
        <w:rPr>
          <w:rFonts w:eastAsia="Calibri"/>
        </w:rPr>
      </w:pPr>
      <w:r w:rsidRPr="00A4268A">
        <w:rPr>
          <w:rFonts w:eastAsia="Calibri"/>
        </w:rPr>
        <w:t>The service is managed by a non-clinical village manager who was orientating to the role on the day of the audit.  He is supported by a care centre manager who has clinical management experience in aged care.  They are supported by two experienced clinical nurse leads.  The residents and relatives interviewed spoke positively about the care and services provided.</w:t>
      </w:r>
    </w:p>
    <w:p w:rsidRPr="00A4268A">
      <w:pPr>
        <w:spacing w:before="240" w:line="276" w:lineRule="auto"/>
        <w:rPr>
          <w:rFonts w:eastAsia="Calibri"/>
        </w:rPr>
      </w:pPr>
      <w:r w:rsidRPr="00A4268A">
        <w:rPr>
          <w:rFonts w:eastAsia="Calibri"/>
        </w:rPr>
        <w:t xml:space="preserve">The service has addressed the one previous certification shortfall around implementation of the quality programme.  </w:t>
      </w:r>
    </w:p>
    <w:p w:rsidRPr="00A4268A">
      <w:pPr>
        <w:spacing w:before="240" w:line="276" w:lineRule="auto"/>
        <w:rPr>
          <w:rFonts w:eastAsia="Calibri"/>
        </w:rPr>
      </w:pPr>
      <w:r w:rsidRPr="00A4268A">
        <w:rPr>
          <w:rFonts w:eastAsia="Calibri"/>
        </w:rPr>
        <w:t xml:space="preserve">This audit identified two areas requiring improvement by the service around neurological observations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 and relative interviews showed that they are well informed including of changes in resident’s health.  Management have an open-door policy.  Advocacy services are available, and residents and family meetings take place as planned.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is implemented.  Organisational performance is monitored through several processes to ensure it aligns with the identified values, scope and strategic direction.  </w:t>
      </w:r>
    </w:p>
    <w:p w:rsidRPr="00A4268A">
      <w:pPr>
        <w:spacing w:before="240" w:line="276" w:lineRule="auto"/>
        <w:rPr>
          <w:rFonts w:eastAsia="Calibri"/>
        </w:rPr>
      </w:pPr>
      <w:r w:rsidRPr="00A4268A">
        <w:rPr>
          <w:rFonts w:eastAsia="Calibri"/>
        </w:rPr>
        <w:t xml:space="preserve">There are human resources policies to support recruitment practices.  The service has an orientation programme in place that provides new staff with relevant information for safe work practice.  The education and training programme for 2019 has been implemented, and the 2020 programme has commenced.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medication competent caregivers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recreational therapists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needs are recorded.  The food control plan has been verified.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temporary warrant of fitness which will be confirmed when the changeover of fire service providers is completed.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On the day of audit, the service had no residents using restraint and one resident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Summerset at Karaka continue to implement their infection surveillance programme.  Infection control issues are discussed at both the infection control and quality, and staff meetings.  The infection control programme is linked with the quality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procedure is provided to residents within the information pack at entry.  The village manager and the care centre manager have overall responsibility for ensuring all complaints (verbal or written) are fully documented and investigated.  On occasions, complaints are escalated to the head office for assistance (sighted).   Feedback forms are available for residents/relatives in various places around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complaint’s register that included relevant information regarding the complaint.  Documentation included follow-up letters and resolution were available.  The number of complaints received each month is reported monthly to staff via the various meetings.  There were 18 complaints received in 2019 and none received YTD for 2020.   Follow-up letters and resolutions were completed within the required timeframes.  One recent complaint was received via the DHB, the complaint was fully investigated, and a corrective action plan was developed with progress reporting documented to ensure all aspects of the complaint have been addressed.  All actions have been addressed, and the complaint has been closed.  Staff interviewed five registered nurses (RNs) two clinical leads, two caregivers one kitchen manager, two recreational therapists, and one maintenance could describe directing all complaints and concerns to the most senior person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the care centre manager have an open-door policy.  Six residents (three hospital and three rest home) and three relatives (hospital) stated they were welcomed on entry and were given time and explanation about services and procedures.  Relatives interviewed also stated they are informed of changes in the health status of residents and incidents/accidents.  Ten electronic incident reports reviewed (five hospital and five rest home) evidenced relatives were notified following incidents.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monthly.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provides rest home and hospital (geriatric and medical) level care for up to 50 residents in the care centre and rest home level care across 20 certified serviced apartments.  On the day of the audit, there were a total of 56 residents.  Fifty residents in the care centre, (including five rest home level residents and 45 hospital residents, including one resident on an orthopaedic interim care contract and two residents on respite).  There were six residents in the serviced apartments receiving rest home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has a site-specific business plan and goals that is developed in consultation with the village manager, care centre manager and regional operations manager (ROM).  The quality plan is reviewed regularly throughout the year.  There is a full evaluation at the end of the year.  The 2019 evaluation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in the current role for less than a week (at the time of the audit), he was being orientated by a relief manager who has been employed with Summerset for two and a half years and has previous experience as a regional manager for another provider.  The care centre manager (registered nurse) has been in his role for eight months, he has previous clinical manager experience, and has a previous background in physiotherapy.  They are supported by an experienced regional quality manager (present on the day of the audit), who has previous experience as a care centre manager and village manager.  She is a registered nurse with a background in teaching.  The village manager and care centre manager are supported by two experienced clinical nurse leads (CNLs) who have experience in age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Karaka has a documented quality and risk management system.  The Summerset group has a Summerset ‘Quality Assurance and Training Calendar for 2020’.  The calendar schedules the training and audit requirements for the month and the care centre manager is responsible for confirming completion as required to head office.  The calendar includes (but is not limited to); monthly quality improvement such as internal audits, training sessions and meeting schedules.  Summerset Karaka meetings have occurred as scheduled in the planner.  The Summerset internal audit schedule programme includes all aspects of clinical care, environmental, organisational and human resource management.  The service has been implementing the internal audits as scheduled.  Corrective actions arising from internal audits are developed into corrective action plans.  Monthly and annual analysis of results is completed and provided across the organisation.  The previous finding around meetings and internal audits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accident/incident benchmarking reports completed by the care centre manager that break down the data collected via VCare across the rest home and hospital and staff incidents/accidents.  Infection control is also included as part of benchmarking across the organisation.  Health and safety internal audits are completed.  Summerset’s clinical and regional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are completed annually.  There was not much differences in the responses between 2018 and 2019.  Overall satisfaction was 97.2%.  Areas of high satisfaction were residents felt respected, 82% felt the dining experience met expectations, 86% felt concerns or issues were dealt with effectively, and 98% felt staff accommodate personal choices and preferences.   Areas of lower satisfaction had corrective actions in place.  The results had been discussed at the monthly staff meetings and weekly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maintenance manager is the health and safety representative (interviewed).  The service addresses health and safety by recording hazards and near misses into a designated electronic database, sharing of health and safety information and actively encouraging staff input and feedback.  The service ensures that all new staff and any contractors are inducted to the health and safety programme.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Ten resident related incident reports for January 2020 were reviewed (five hospital and five rest home including a resident from the serviced apartments).  All reports and corresponding resident files reviewed evidenced appropriate registered nurse follow-up following an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have been notified on occasions and the forms were fully completed with detailed progress notes documented, however not all neurological observations were completed as policy following unwitnessed falls.  Data is linked to the organisation's benchmarking programme and used for comparative purposes.  Discussions with the service confirmed that there is an awareness of the requirement to notify relevant authorities in relation to essential notifications.  Section 31s were sighted for two resident behaviours and a sudden death.  The regional quality manager reported section 31 notifications were sent for changes in management (not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Outbreaks in April and in May 2019 were well managed with timely notifications and correspondence kept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guide management on employment processes.  A list of practising certificates is maintained.  Six staff files (one clinical nurse lead, two RNs, two caregivers and one diversional therapist) were reviewed and all had relevant documentation relating to employment.  Performance appraisals had been completed annually for those staff who have been employed for over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role-specific orientation programme includes documented competencies and induction checklists (sighted in files of newly appointed staff).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that is outlined on the ‘quality assurance calendar’.  All compulsory education sessions and competencies have been held over a two year period and are included in the 2020 planner.  All education sessions have occurred as scheduled and a record of completion is maintained on staff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are encouraged to complete Careerforce training.  Currently there are thirteen caregivers with level 2, eight caregivers with level 3 and six caregivers with level 4 NZQA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current first aid certificates and have access to external training sessions.  There are four RNs including one CNL who are interRAI trained with another two enrolled.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manager has attended the palliative care conference and has completed a continuous leadership course.  The clinical nurse leaders attend monthly CNL meetings which includes mentoring and coaching with the managers and regional operations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staffing levels and skills mix policy is the documented rationale for determining staffing levels and skill mixes for safe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at all times for any emergency issues or clinical support.  There are two clinical nurse leads who work full time.  One clinical nurse lead works Sunday to Thursday, and one works Tuesday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In the care centre, there are two RNs on duty across all shifts.  They are supported by eight caregivers on morning shifts; 5x 7 am to 3 pm, 2x 7 am to 1 pm and 1x 8 am to 12 midday.  Seven caregivers are rostered for the afternoon shift; 4x 3 pm to 11 pm, 2x 4 pm to 11 pm and 1x 4 pm to 9 pm.  One caregiver works nightshift with the two RNs.</w:t>
            </w:r>
          </w:p>
          <w:p w:rsidR="00EB7645" w:rsidRPr="00BE00C7" w:rsidP="00BE00C7">
            <w:pPr>
              <w:pStyle w:val="OutcomeDescription"/>
              <w:spacing w:before="120" w:after="120"/>
              <w:rPr>
                <w:rFonts w:cs="Arial"/>
                <w:b w:val="0"/>
                <w:lang w:eastAsia="en-NZ"/>
              </w:rPr>
            </w:pPr>
            <w:r w:rsidRPr="00BE00C7">
              <w:rPr>
                <w:rFonts w:cs="Arial"/>
                <w:b w:val="0"/>
                <w:lang w:eastAsia="en-NZ"/>
              </w:rPr>
              <w:t>The RN on duty provides oversight to the rest home residents in the serviced apartments.  There are two caregivers on duty in the serviced apartments on a morning shift (1x 7.30 am to 12 midday, and 1x 7 am to 3 pm).  Afternoon shift has one caregiver from 3 pm to 11 pm.  The caregiver in the care centre assists anyone that requires help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there is a resident from the village requiring assistance overnight, the caregiver would attend in the first instance with the first aid bag and radio, to report back to the RNs in the care centre for advice if required.  An RN would attend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carry pagers that alert them to call bells, and two-way radios so they can communicate effectively.  Interviews with residents and relatives confirmed that staffing levels are sufficient to meet the needs of residents.  A staff availability list ensures that staff sickness and vacant shifts are covered.  Caregivers interviewed confirmed that staff are replaced when off sick.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self-administering on the day of audit.  A consent form had been signed and the resident deemed competent to self-administer.  The medication roll is in the resident’s locker.  The resident refuses to lock this.  The resident never leaves the room and there are currently no residents who wander.  There are no standing orders.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Medications are checked on arrival and any pharmacy errors recorded and fed back to the supplying pharmacy.  RNs and senior medication competent caregivers administer all medications.  Staff attend annual education and have an annual medication competency completed.  All but two new RNs are syringe driver trained by the hospice.  The medication fridge temperature is checked weekly and the service has commenced documenting daily room temperatures.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Ten medication charts were reviewed (five rest home and five hospital).  Medications are reviewed at least three monthly by the GP.  There was photo ID and allergy status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 who works Monday-Friday 40 hours a week.  There are three other chefs who all work 40 hours a week and overlap each other.  All cooks have current food safety certificates.  The head chef oversees the procurement of the food and management of the kitchen.  There is a well equipped kitchen and all meals are cooked on site.  Meals are served in each area from hot boxes.  The temperature of the food is checked before serving.  Special equipment such as lipped plates is available.  On the day of audit meals were observed to be hot and well presented.  Kitchen staff were in the dining room checking with residents regarding meals.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One gluten free resident had initial problems with dietary requirements, but the kitchen has worked with the resident and these have now been overcome.  The four weekly menu cycle is approved by a dietitian.  The residents can ask for alternatives.  All resident/families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7 February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Care plans sampled had interventions documented to meet the needs of the residents and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electronic accident/incident forms and written in the progress notes.  Neurological observations are taken when there is a head knock or for an unwitnessed fall, but are not always completed as per policy (link 1.2.4.5).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Electronic wound assessment, wound management and wound evaluation forms are in place for all wounds.  Wound monitoring occurs as planned.  There is a wound register stating what day wounds are due and when completed.  One chronic wound has been seen by the wound nurse specialist and there are photos of the wounds progress.  There is currently one facility acquired stage two pressure injury.  This has been seen by the wound care nurse specialist and there are photos of the wounds progress.  The right heel is kept elevated off the bed.</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  Caregivers document changes of position on a turning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recreational therapists who both work thirty hours a week.  Both are currently completing a diversional therapy course.  Both work across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Every Monday, each resident is given a copy of the weekly programme to keep in their room.   Residents have the choice of a variety of activities in which to participate and every effort is made to ensure activities are meaningful and tailored to residents’ needs.  These include exercises, walking groups, craft, cooking classes, bingo, news from the paper and movies.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interdenominational church service and Catholic communion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van outings.  Both drivers have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Special events like birthdays, Chinese New Year, Easter, Mothers’ Day, Anzac Day and Melbourne Cup are celebrated.</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visit from a dog and it’s owner. An entertainer visits every Friday.</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local preschools and choirs.  Residents go out shopping and to cafés.  Some residents participate in AUTs music therapy group.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at the same time as the review of the long 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respite resident and interim care resident, all plans reviewed had been evaluated by the registered nurse six monthly or when changes to care occurred.  Short- 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 monthly review by the GP.  The relatives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currently in the process of changing their fire service providers.  Meanwhile the building holds a temporary warrant of fitness (expiring 8 October 2020) which will be confirmed once the changeover of fire services is completed.  There is a preventative and reactive maintenance programme.  Hot water temperatures have been monitored randomly in resident areas and were within the acceptable range.  The sound of the call bells is turned down low in the evenings to prevent disturbing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The infection control coordinator (clinical nurse lead) provides infection control data, trends and relevant information to the infection control committee and clinical/quality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events are entered into VCare and extracted monthly into share point electronic system.  Areas for improvement are identified and corrective actions are developed and followed up.  The facility is benchmarked against other Summerset facilities of similar size and benchmarking results are fed back to the infection control coordinator and used to identify areas for improvement.  Infection control audits are completed, and corrective actions are signed off (sighted).  Surveillance results are used to identify infection control activities and education needs within the facility.  There was a scabies outbreak in April 2019, which was well managed, and documented.  Public Health was notified.  The gastro outbreak in May 2019 was also well managed and documented.  Public Health was notified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One of the clinical nurse leads is the restraint coordinator.  Restraint and enabler logs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requiring the use of a restraint and one resident using a bedrail as an enabler at the time of audit.  An assessment, consent and electronic care plan were in place.  Four hourly monitoring was maintained as documented in the care plan.  Staff receive training around restraint minimisation that includes annual competency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could clearly describe the difference between a restraint and an enabler.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51"/>
        <w:gridCol w:w="1280"/>
        <w:gridCol w:w="4177"/>
        <w:gridCol w:w="2653"/>
        <w:gridCol w:w="19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incident reports reviewed were fully completed and showed RN follow-up and relatives’ notifications.  Where possible opportunities to minimise risks were documented, or existing interventions were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of four unwitnessed falls did not have neuro observations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neurological observations are completed as per the policy or discontinued following a documented clinical assessment.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robotic pack system.  The medication fridge temperature is checked weekly and the service has commenced documenting daily room temperatures.  There is a controlled drug register.  Weekly stocktakes are not being completed consistently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(Weekly stocktakes are not being completed consistently as per policy and the controlled drug register is not documented as per policy (medications dosage missing from top of page).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weekly stocktakes are completed consistently as per policy and ensure the controlled drug register is documented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Karaka</w:t>
    </w:r>
    <w:bookmarkEnd w:id="58"/>
    <w:r>
      <w:rPr>
        <w:rFonts w:cs="Arial"/>
        <w:sz w:val="16"/>
        <w:szCs w:val="20"/>
      </w:rPr>
      <w:tab/>
      <w:t xml:space="preserve">Date of Audit: </w:t>
    </w:r>
    <w:bookmarkStart w:id="59" w:name="AuditStartDate1"/>
    <w:r>
      <w:rPr>
        <w:rFonts w:cs="Arial"/>
        <w:sz w:val="16"/>
        <w:szCs w:val="20"/>
      </w:rPr>
      <w:t>23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