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Fitzroy Village Management (2016) Limited - Fitzroy of Merivale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Fitzroy Village Management (2016)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Fitzroy of Merivale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2020</w:t>
      </w:r>
      <w:bookmarkEnd w:id="7"/>
      <w:r w:rsidRPr="009418D4">
        <w:rPr>
          <w:rFonts w:cs="Arial"/>
        </w:rPr>
        <w:tab/>
        <w:t xml:space="preserve">End date: </w:t>
      </w:r>
      <w:bookmarkStart w:id="8" w:name="AuditEndDate"/>
      <w:r w:rsidR="00A4268A">
        <w:rPr>
          <w:rFonts w:cs="Arial"/>
        </w:rPr>
        <w:t>3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Fitzroy of Merivale is privately owned and operated.  The rest home provides rest home level care for up to 31 residents.  On the day of the audit there were 29 residents living at the facility.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 staff, management and general practitioner.  </w:t>
      </w:r>
    </w:p>
    <w:p w:rsidRPr="00A4268A">
      <w:pPr>
        <w:spacing w:before="240" w:line="276" w:lineRule="auto"/>
        <w:rPr>
          <w:rFonts w:eastAsia="Calibri"/>
        </w:rPr>
      </w:pPr>
      <w:r w:rsidRPr="00A4268A">
        <w:rPr>
          <w:rFonts w:eastAsia="Calibri"/>
        </w:rPr>
        <w:t xml:space="preserve">One owner director is a registered nurse and is in the role of clinical manager.  The second owner/director has a business management background and is responsible for health and safety, finances and maintenance.  Residents and family interviewed were complimentary of the services they receive.  </w:t>
      </w:r>
    </w:p>
    <w:p w:rsidRPr="00A4268A">
      <w:pPr>
        <w:spacing w:before="240" w:line="276" w:lineRule="auto"/>
        <w:rPr>
          <w:rFonts w:eastAsia="Calibri"/>
        </w:rPr>
      </w:pPr>
      <w:r w:rsidRPr="00A4268A">
        <w:rPr>
          <w:rFonts w:eastAsia="Calibri"/>
        </w:rPr>
        <w:t xml:space="preserve">This certification audit identified one improvement around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Information about the services provided is readily available to residents and families/whānau.  Māori values and beliefs are understood and respected.  Care planning accommodates individual choices of residents and/or their family/whānau.  Informed consent processes are adhered to.  Residents are encouraged to maintain links with their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internal audits, meetings and health and safety processes.  Adverse, unplanned and untoward events are documented by staff.  Human resources are managed in accordance with good employment practice.  An orientation programme and regular staff education and training are in place.  There are adequate numbers of staff on duty to ensure residents are safe.  There is a clinical manager and part-time RN who provide registered nursing cover and available 24 hours on call when not on site.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manages entry to the service.  An information pack is available prior to or on entry to the service.  A registered nurse completes initial assessments including interRAI assessments, care plans and evaluations within the required timeframes.  Care plans are integrated and include the involvement of allied health professionals.  Residents and relatives interviewed confirmed they were involved in the care planning and review process.  General practitioners review residents at least three monthly or more frequently if needed.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and includes outings, entertainers and community interactions.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Registered nurses and caregivers administering medications have completed annual competencies.  The general practitioner has reviewed the medication charts at least three monthly. </w:t>
      </w:r>
    </w:p>
    <w:p w:rsidRPr="00A4268A" w:rsidP="00621629">
      <w:pPr>
        <w:spacing w:before="240" w:line="276" w:lineRule="auto"/>
        <w:rPr>
          <w:rFonts w:eastAsia="Calibri"/>
        </w:rPr>
      </w:pPr>
      <w:r w:rsidRPr="00A4268A">
        <w:rPr>
          <w:rFonts w:eastAsia="Calibri"/>
        </w:rPr>
        <w:t xml:space="preserve">Meals are prepared and cooked off site.  The menus are reviewed by a dietitian.  The menu is varied and provides meal options.  Individual and special dietary needs are catered for.  Residents interviewed were very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All rooms are single, personalised and have ensuite facilities.  The environment is warm and comfortable.  There is adequate room for residents to move freely about the home using mobility aids.  Communal areas are spacious and well utilised for group and individual activities.  Outdoor areas are well maintained, safe and accessible and provide seating and shade for residents.  There is adequate equipment for the safe delivery of care.  All equipment is well maintained and on a planned schedule.  All chemicals are stored safely, and the laundry is well equipped.  The cleaning service maintains a tidy, clean environment.  There is an emergency evacuation plan in place and sufficient civil defence supplies.  There is a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No restraint or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officer (clinical manager)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0"/>
        <w:gridCol w:w="1280"/>
        <w:gridCol w:w="87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Services Consumers' Rights (the Code) is available in the information pack available to residents and their families during entry to the service.  The Code is displayed in large print in the communal dining/lounge room.  Policy relating to the Code is implemented.  The clinical manager/owner/director and care staff interviewed (three caregivers and one diversional therapist) could describe the code and give examples of how it is incorporated into their role and responsibilities.  Staff receive training on the Code during their induction to the service and ongoing as part of the education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relatives on admission.  Written general consents including outings, social media and indemnity and cardiopulmonary resuscitation status has been appropriately signed in the six resident files reviewed.  Copies of enduring power of attorney where known were included in the resident file.  Caregivers interviewed confirmed verbal consent is obtained when delivering care.  All resident files reviewed had a signed admission agreement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information is included in the information pack provided to new residents and their family/whānau during their entry to the service.  Residents interviewed were aware of the role of advocacy services and their right to access support.  There are advocacy brochures available.  There is a resident advocate from Age Concern who visits the service and is available for one on one chats with residents.  The complaints process is linked to advocacy services although this has not been needed.  Staff receive training in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and diversional therapist to ensure that the residents participate in as much as they can safely and desire to do as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established with a range of organisations such as Age Concern, library services, day-care visits, church groups and visiting Japanese students.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the resident’s entry to the service.  There is access to complaints forms and a suggestions box in a communal lounge.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privacy officer.  There has been one internal complaint in 2019.  A review of the complaint, investigation notes and letter to the complainant demonstrated compliance with HDC guidelines.  A complaint register is maintained.  Any concerns or complaints are discussed at staff meetings.  Residents interviewed stated the owners/directors are readily available to discuss any concerns they may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clinical manager or RN discusses aspects of the Code with residents and their family on admission.  Brochures on the Code of rights is available to residents and their families.  All five residents and one family member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Residents and relative interviewed and observations during the audit confirmed that the residents’ privacy is respected.  Guidelines on abuse and neglect are documented in policy.  Staff receive education and training on abuse and neglect, which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Māori health policy is documented for the service.  There were no residents who identified as Māori at the time of the audit.  The care staff interviewed, reported that they value and encourage active participation and input from the family/whānau in the day-to-day care of residents and described how they would support Māori residents who identified with the Māori culture.  Staff attend cultural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individual beliefs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 care plan, evidenced in five long-term care plans and one respite care resident.  Residents and family/whānau interviewed confirmed they were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caregivers’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is the clinical manager/registered nurse who is supported by a part-time RN to provide seven-day week RN on morning shifts and 24-hour RN on call.  Care staff interviewed stated the two owner/directors are very caring and supportive and readily available to staff, residents and their families.  Residents have the opportunity to feedback on the service through meetings and surveys.  Residents interviewed reported that they are very satisfied with the care, services and environment at Fitzroy of Merivale.  The owner/directors and staff pride themselves on the boutique homelike environment and family atmosphere.  The staff are long-serving and know the residents well and treat them as individuals, with dignity and respect,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at all times.  The clinical manager and care staff interviewed understood about open disclosure and providing appropriate information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of family notification for changes to resident’s health status.  Nine accident/incident forms for the month of November identified that family members had been notified within a timely manner for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monthly resident meetings chaired by the non-clinical owner/director.  The meetings are open to families with good attendance and discussion on all aspects of the service.  The service has Wi-Fi throughout the building including residents’ rooms, improving communication for families with their loved ones.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Families and staff are utilised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Fitzroy of Merivale provides care for up to 31 residents at rest home level of care.  At the time of the audit, there were 29 residents (including three privately paying non-assessed residents and one respite care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Fitzroy of Merivale is privately owned for four years by two owner/directors (husband and wife team).  One owner/director is the clinical manager with a current practicing certificate, many years of clinical experience and oversees the clinical management.  The other owner/director has a business management background and is responsible for non-clinical services, finances and maintenance.  They are supported by a part-time RN (deputy nurse manager) and long-serving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2016 to 2020 business plan has been reviewed regularly with ongoing goals.  The business plan includes the service mission statement, philosophy, vision and values.  An electronic medication system was installed November 2019.  A connection for a hire diesel generator has been installed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maintained at least eight hours annually of professional development activities related to managing an aged care facility including attending DHB study days and infection control skills based DHB study day.  The clinical manager has also completed on-line management courses for business management, leadership and quality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part-time RN share the on call.  The part-time RN (deputy nurse manager) has responsibility for the service in the absence of the owner/directors.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established.  There is a quality and risk management plan in place for 2020.  The service contract an aged care consultant to provide and review policies and procedures to align with current accepted practice.  New policies and updates to existing policies are discussed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meetings, health and safety, infection control and resident surveys.  There are bi-monthly quality meetings open to all staff and care services meetings bi-monthly.  Quality data, including accidents/incidents, infections and outcomes of internal audits is collated, analysed and discussed at meetings as sighted in meeting minutes.  Staff have access to meeting minutes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being implemented.  Internal audit results and corrective actions are discussed with staff in meeting minutes.  Where improvements are identified, corrective actions are documented and signed off by the clinical manager when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completed annually each January with the last survey completed in 2019.  The overall majority of responses indicated that residents were either satisfied or very satisfied with the service received.  This was also confirmed during interviews with residents.  Results were shared with residents, families and staff.  The service responded where any concerns were expressed such as a request for vegetarian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non-clinical owner/director is the health and safety officer with overall responsibility for health and safety.  He has completed an on-line health and safety course, manual handers course through a physiotherapist and is a qualified tester and tagger of electrical equipment.  Staff receive health and safety training, which begins during their induction to the service and annually as part of the education plan.  Health and safety are a regular topic covered in the quality and staff meetings.  Actual and potential risks are documented on the hazard register (last reviewed January 2020), which identifies risk ratings and documents actions to eliminate or minimise the risk.  Contractors complete health and safety inductions.  Staff complete safe manual handling competencies for the use of the Raizer (lifting device used in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sensor mats and reviewing residents at risk of falling.  A falls management plan is developed for each resident who is identified at a high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Individual reports are completed for each incident/accident with immediate action documented including any follow-up action(s) required.  Incident/accident data is linked to the organisation's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accident/incident forms were reviewed.  Each event involving a resident reflected a clinical assessment and follow-up by a registered nurse.  Neurologic observations are documented for any suspected head injury.  The clinical manager or part-time RN signs off each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owners/directors are aware of their responsibility to notify relevant authorities in relation to essential notifications.  There have been no Section 31s reported.  The infection control nurse specialist at the DHB was notified for an influenza outbreak May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reviewed (one RN/deputy nurse manager, two caregivers, one diversional therapist and one kitchen assistant) included evidence of the recruitment process, signed employment contracts, reference checking and completed orientation programmes.  The orientation programme provides new staff with relevant information for safe work practice.  Competencies are completed specific to worker type.  Staff interviewed stated that they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practising certificates for the RNs and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annual education schedule has been completed and the 2020 planner has commenced.  Staff meetings precede in-services with high numbers of staff attending.  Staff who are unable to attend are provided with meeting minutes and education notes from the in-service and there are several presentations for mandatory training.   Individual staff training records are maintained.  Education is provided by the clinical manager and external speakers such as the DHB dementia care facilitator, HDC advocate, food service provider and chemical safety provider.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completed interRAI training.  A senior caregiver is a Careerforce assessor.  Five of ten caregivers have level 4 qualifications.  Staff who administer medications have completed annual medication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The clinical manager and the RN/deputy nurse manager (works 15 hours per week) share the RN cover Monday – Sunday morning duties on site and cover the on-call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caregivers available with one working the full morning shift and two on the short shifts from 7 am to 1 pm.  On the afternoon shift there is one caregiver for the full shift and one caregiver from 5 pm to 8 pm.  There is one caregiver on the night shift with an RN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DT four days a week.  Caregivers complete the laundry and there are separate cleaning staff.  There is a morning and afternoon kitchenhand (meals are not cooked on site). </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staff confirmed staffing levels were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were legible, dated, timed and signed by the relevant caregiver or RN, including their designation.  Electronic systems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There is an information pack that outlines services able to be provided.  The admission pack included information on the code of rights, advocacy service complaint process.  Residents interviewed confirmed they had the opportunity to discuss the admission agreement with the manager.    The admission agreement form in use aligns with the requirements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 as sighted in one resident file where the resident was transferred to hospital following a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Registered nurses and caregiver’s complete annual medication competencies and medication education.  </w:t>
            </w:r>
          </w:p>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occurs against the blister packs for regular and ‘as required’ medications.  Any discrepancies are fed back to the supplying pharmacy who are available after hours if required.  There were no standing orders.  The medication fridge temperature and medication room temperature are being monitored daily and both were within acceptable limits.  All eyedrops were dated on opening.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One paper-based medication script was reviewed for the respite resident.  All charts had photo identification and allergy status documented.  The effectiveness of ‘as required’ medications were recorded in the electronic medication system.  All long-term medications charts had been reviewed by the GP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self-medicating with current self-medication competencies kept on file.  The RN completes a weekly check of their medications to ensure stock is available and the resident has been taking the medication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and baking are provided by an off-site contracted service.  A dietitian approves the four-seasonal menu.  Food control documentation was sighted.  The kitchen did not have a copy of the food control certificate.  The contractor receives resident dietary information including dislikes and food allergies.  The manager/RN provides regular written updates on resident dietary needs.   </w:t>
            </w:r>
          </w:p>
          <w:p w:rsidR="00EB7645" w:rsidRPr="00BE00C7" w:rsidP="00BE00C7">
            <w:pPr>
              <w:pStyle w:val="OutcomeDescription"/>
              <w:spacing w:before="120" w:after="120"/>
              <w:rPr>
                <w:rFonts w:cs="Arial"/>
                <w:b w:val="0"/>
                <w:lang w:eastAsia="en-NZ"/>
              </w:rPr>
            </w:pPr>
            <w:r w:rsidRPr="00BE00C7">
              <w:rPr>
                <w:rFonts w:cs="Arial"/>
                <w:b w:val="0"/>
                <w:lang w:eastAsia="en-NZ"/>
              </w:rPr>
              <w:t>Meals are transported to the facility kitchenette in a hot box and is served by the kitchen staff from a bain marie to the residents through a hatch to the adjacent dining room.  Any special dietary requirements are delivered in named containers.  Serving temperatures are checked on delivery and recorded.  Fridge temperatures are monitored and recorded daily.  All perishable goods were date labelled.  A cleaning schedule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kitchenhands involved in the preparation of breakfasts and serving of meals have attended food safety training.  Residents interviewed were very complimentary about the meals and fruit platters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accepting/declining entry to service policies.  The referral agency and potential resident and/or family member would be informed of the reason for declining entry.  Reasons for declining entry would be if there are no beds available or the service cannot provide the assessed level of care.  The referring agency, relatives and resident would be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indicated that all appropriate personal needs information was gathered during admission in consultation with the resident and their relative where appropriate.  An initial assessment was completed on admission including a health status and clinical risk assessment.  Relevant risk assessment tools were completed including falls, pressure injury risk, pain assessment, nutritional risk and continence assessment.  The outcomes of risk assessments were included in the initial assessment and long-term care plans.  InterRAI assessments were reviewed.  These had informed the care plan.  Risk assessment tools were reviewed at least six monthly or when there was a change to a resident’s health condition.  The respite resident had all initial assessments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are generated within the resident management system and printed off and placed within the resident file which is readily available for care staff.  The long-term care plans reviewed described the support required to meet the resident’s goals and needs and identified allied health involvement in the care of the resident (link 1.3.6.1).  The interRAI assessment process informs the development of the resident’s care plan.  Residents interviewed reported that they are involved in the care planning and review process.  Short-term care plans are in use for changes in health status and either resolved or transferred to the long-term care plan 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goal orientated and met the resident needs.  Residents interviewed stated their needs are being met.  If a resident’s condition changes the RN initiates a GP consultation, and completes a short-term care plan.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eight wounds (four of these were on one resident) including skin tears, surgical wound, and lesions at the time of the audit.  Wound assessments and plans had been completed for all wounds.  Evaluations and change of dressings had occurred at the documented frequency.  Chronic wounds had been linked to the long-term care plan.  There were no residents with a pressure injury on the day of the audit.  Wound specialists are available on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specialist continence advice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sighted included weights, vital signs, neurological observations, bowel records, food and fluids, blood sugar levels, and pain, however, these were not always completed when a resident’s status changed.  Resident weights were noted to be monitored monthly or more frequently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is employed for 3.5 days per week and has been in the role since 2012.  She has a current first aid certificate and attends on site in-services.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are provided from 10.30 am to 5.30 pm and involve a variety of recreational activities such as news reading, word games, crafts, quizzes, exercises, manicures and garden walks.  A current initiative is developing life journals with residents, reflecting on their lives; the residents cut out pictures, and there is a story written about their memory of that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entertainers and community visitors including pastoral visitors and students.  There are monthly church services, and weekly library services.  Residents are encouraged to maintain links in the community including outings for lunch, cafés, shopping attending concerts and garden visits.  There are twice weekly outings and/or mystery drives.  Activities offered are meaningful and meet the residents’ recreational preferences.  Entertainment is organised over the weekend and the hairdresser attends weekly.  The service utilises social media to keep relatives informed of outings and what the residents have been doing.  Special events are celebrated, where residents dress up for the Melbourne cup, cultural events and Easter.  There are family evenings organised where entertainment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soon after admission.  Each resident has an individual activity plan developed within three weeks, which is reviewed at least six monthly.  The service receives feedback on activities through one-on-one feedback, residents’ meetings and surveys.  Residents interviewed were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(MDT) with the manager, RN, caregiver and DT.  There is a written evaluation against the resident goals that identifies if the goals have been met or unmet.  Long-term care plans are updated with any changes to meet the resident goals.  Short-term care plans were evident for the care and treatment of short-term problems for residents and these had been evaluated, closed or transferred to the long-term care plan if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Fitzroy of Merivale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There was evidence of referrals to skin specialists.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Housekeeping staff interviewed were aware of practices outlined in relevant policy.  Chemicals are stored safely in locked areas.  Chemicals sighted were labelled correctly and safety data sheets and product information is readily available to staff.  Gloves, aprons and visors are available, and staff were observed wearing personal protective clothing while carrying out their duties.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that expires 1 August 2020.  There is a maintenance person (director/health and safety officer) available 40 hours a week and has overall responsibility for building compliance.  The planned maintenance programme has been completed to date, including electrical testing and tagging of electrical equipment, calibration and testing of clinical equipment, monthly call bell audits and monthly hot water temperatures.  Hot water temperatures in resident areas are maintained below 45 degrees.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allows easy access/movement for the residents and promotes independence for residents with mobility aids.  There is ramp access to different levels.  Outdoor areas have landscaped gardens.  There is outdoor seating and shade provided by the trees.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caregivers interviewed stated they have all the equipment required to deliver safe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ensuite facilities.  There are communal toilets located close to communal lounges and dining areas with privacy locks.  All residents interviewed confirmed their privacy was maintained while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Residents are encouraged to personalise their bedrooms as viewed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seating alcoves near the main entrance.  Communal areas within the facility include an open plan dining area and main lounge with a piano and computer station with internet access.  The second lounge has a library and TV including Netflix available, with doors which open out onto a patio area.  Communal areas are easily accessible to residents.  The gardens are well landscaped and continue to win awards.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The facility has a laundry with a defined clean/dirty area.  The laundry has a commercial washing machine.  Laundry processes are monitored by the chemical provider, through internal audits and resident meetings and surveys.  All linen is laundered off site and collected daily.  Personal clothing is laundered on site.  There were adequate linen supplies sighted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cleaner seven days a week.  A cleaning schedule is maintained.  The cleaner’s trolley is kept in a locked area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The service has an evacuation scheme approved by the fire service dated 23 May 2013.  Fire drills occur every six months.  The health and safety officer orientates new staff to the emergency procedures and location of civil defence and outbreak management supplies.  There is ongoing training as part of the education plan.  Staff interviewed confirmed their understanding of emergency procedures.   There are adequate supplies available in the event of a civil defence emergency including dry foods, stored water, torches, batteries and radio, and blankets.  A gas barbeque is available.  The service has access to a hire diesel generator and a connection has been completed for the installation of the generator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completed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in all communal areas, resident rooms and ensuites.  Call bells are connected to pagers carried by staff.  Call bell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secure after hours.  There is a security camera at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by radiators and ventilated.  All resident rooms and communal areas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is appropriate for the size and complexity of the service.  The clinical manager/registered nurse is the infection control officer with a job description that outlines the responsibility of the role.  The infection control programmes is reviewed annually (last April 2019) with representatives from each service including the carers, cook, cleaner, DT and RN.  The monthly infection control report is discussed at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There are hand sanitisers appropriately placed throughout the facility.  There are adequate supplies of personal protective clothing and outbreak management supplies.  Residents and staff are offered the influenza vaccine.  There has been one confirmed influenza A outbreak (five residents) in May 2019.  There is a documented discussion of a phone call to the infection control nurse specialist at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oversees infection control across the service.  The infection control officer completed an infection control skills-based study day with the DHB then presented the staff education session as part of the assessment.  The infection control officer has access to an infection control nurse specialist at the DHB, public health, GPs, laboratory service and aged care consultant and microbiologist.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that are current and reflect the infection control standard SNZ HB 8134:2008, legislation and good practice.  The service contract an aged care consultant to review and update policies.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Infection control is included in all staff orientation.  Hand hygiene competencies are completed.  Annual infection control education is provided by the infection control officer last in May 2019.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Internal infection control audits on all areas of service assist the service in evaluating infection control needs.  There is liaison with the GP and laboratory staff that advise and provide feedback/information to the service.  The GP and the service monitor the use of antibiotics.  Infection control data is collated monthly and reported at the monthly staff meeting as sighted in meetings minutes.  The surveillance of infection data assists in evaluating compliance with infection control practices.  Infection rates are generally 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Fitzroy of Merivale is a restraint free facility.  No residents were using restraints or enablers.  The clinical manager is the designated restraint coordinator.  Restraint education is completed and orientation and ongoing.  Restraint minimisation and safe practice is discussed at staff meetings.  Staff have received training around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9"/>
        <w:gridCol w:w="1280"/>
        <w:gridCol w:w="6466"/>
        <w:gridCol w:w="2070"/>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short-term care plans in place for acute changes in health.  Assessments were completed on a six-monthly basis, but not always reviewed following change in condition.  The residents and staff stated the RN follows up following incidents or acute changes in health as sighted on incident reports and progress notes, however ongoing follow-up by the registered nurse was not always documented in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pain assessment completed for a resident who had two falls resulting in pain.  </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nursing (non-pharmaceutical) interventions documented for pain management in the long or short-term care plans.</w:t>
            </w:r>
          </w:p>
          <w:p w:rsidR="00EB7645" w:rsidRPr="00BE00C7" w:rsidP="00BE00C7">
            <w:pPr>
              <w:pStyle w:val="OutcomeDescription"/>
              <w:spacing w:before="120" w:after="120"/>
              <w:rPr>
                <w:rFonts w:cs="Arial"/>
                <w:b w:val="0"/>
                <w:lang w:eastAsia="en-NZ"/>
              </w:rPr>
            </w:pPr>
            <w:r w:rsidRPr="00BE00C7">
              <w:rPr>
                <w:rFonts w:cs="Arial"/>
                <w:b w:val="0"/>
                <w:lang w:eastAsia="en-NZ"/>
              </w:rPr>
              <w:t>iii) There were gaps in the RN progress notes in three of five long-term resident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assessments are reviewed when a resident’s condition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Consider all aspects of interventions including non-pharmaceutical interventions.  </w:t>
            </w:r>
          </w:p>
          <w:p w:rsidR="00EB7645" w:rsidRPr="00BE00C7" w:rsidP="00BE00C7">
            <w:pPr>
              <w:pStyle w:val="OutcomeDescription"/>
              <w:spacing w:before="120" w:after="120"/>
              <w:rPr>
                <w:rFonts w:cs="Arial"/>
                <w:b w:val="0"/>
                <w:lang w:eastAsia="en-NZ"/>
              </w:rPr>
            </w:pPr>
            <w:r w:rsidRPr="00BE00C7">
              <w:rPr>
                <w:rFonts w:cs="Arial"/>
                <w:b w:val="0"/>
                <w:lang w:eastAsia="en-NZ"/>
              </w:rPr>
              <w:t>iii) Ensure there are at least weekly progress notes documented by the RN.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Fitzroy Village Management (2016) Limited - Fitzroy of Merivale</w:t>
    </w:r>
    <w:bookmarkEnd w:id="58"/>
    <w:r>
      <w:rPr>
        <w:rFonts w:cs="Arial"/>
        <w:sz w:val="16"/>
        <w:szCs w:val="20"/>
      </w:rPr>
      <w:tab/>
      <w:t xml:space="preserve">Date of Audit: </w:t>
    </w:r>
    <w:bookmarkStart w:id="59" w:name="AuditStartDate1"/>
    <w:r>
      <w:rPr>
        <w:rFonts w:cs="Arial"/>
        <w:sz w:val="16"/>
        <w:szCs w:val="20"/>
      </w:rPr>
      <w:t>3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