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Cedar Manor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Cedar Manor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January 2020</w:t>
      </w:r>
      <w:bookmarkEnd w:id="7"/>
      <w:r w:rsidRPr="009418D4">
        <w:rPr>
          <w:rFonts w:cs="Arial"/>
        </w:rPr>
        <w:tab/>
        <w:t xml:space="preserve">End date: </w:t>
      </w:r>
      <w:bookmarkStart w:id="8" w:name="AuditEndDate"/>
      <w:r w:rsidR="00A4268A">
        <w:rPr>
          <w:rFonts w:cs="Arial"/>
        </w:rPr>
        <w:t>17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Cedar Manor is part of the Bupa group.  The service is certified to provide rest home, hospital (medical and geriatric), and dementia level care for up to 92 residents.  On the day of the audit, there were 82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a review of policies and procedures; a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care home manager is supported by head office staff with a clinical manager on site providing oversight of clinical care.</w:t>
      </w:r>
    </w:p>
    <w:p w:rsidRPr="00A4268A">
      <w:pPr>
        <w:spacing w:before="240" w:line="276" w:lineRule="auto"/>
        <w:rPr>
          <w:rFonts w:eastAsia="Calibri"/>
        </w:rPr>
      </w:pPr>
      <w:r w:rsidRPr="00A4268A">
        <w:rPr>
          <w:rFonts w:eastAsia="Calibri"/>
        </w:rPr>
        <w:t xml:space="preserve">There are no areas for improvement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are provided with information they need on entry to the service and this is regularly updated.  Interviews with residents and family confirmed they are provided with adequate information and that communication is open.  </w:t>
      </w:r>
    </w:p>
    <w:p w:rsidRPr="00A4268A">
      <w:pPr>
        <w:spacing w:before="240" w:line="276" w:lineRule="auto"/>
        <w:rPr>
          <w:rFonts w:eastAsia="Calibri"/>
        </w:rPr>
      </w:pPr>
      <w:r w:rsidRPr="00A4268A">
        <w:rPr>
          <w:rFonts w:eastAsia="Calibri"/>
        </w:rPr>
        <w:t xml:space="preserve">Residents are informed of the complaints process and there are policies and procedures in place to investigate complaints with these investigated in a timely manner.  A register of complaints is kept.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an implemented quality and risk management programme.  Adverse, unplanned, and untoward events are documented by staff and reviewed by the care home manager.  All aspects of the quality programme are discussed at relevant meetings.  The health and safety programme is implemented. </w:t>
      </w:r>
    </w:p>
    <w:p w:rsidRPr="00A4268A">
      <w:pPr>
        <w:spacing w:before="240" w:line="276" w:lineRule="auto"/>
        <w:rPr>
          <w:rFonts w:eastAsia="Calibri"/>
        </w:rPr>
      </w:pPr>
      <w:r w:rsidRPr="00A4268A">
        <w:rPr>
          <w:rFonts w:eastAsia="Calibri"/>
        </w:rPr>
        <w:t>Human resources are managed in accordance with good employment practice.  An orientation programme is in place for new staff.  An annual staff education and training plan is well attended with all staff attending mandatory training as required.  Registered nursing cover is provided on morning, afternoon and night shifts, seven days a week with adequate numbers of care staff on each wing.</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in place for new staff.  Ongoing education and training for staff is in place with adequate numbers of trained staff providing support for residents in the dementia unit.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completing initial assessments, interRAI assessments, development of care plans and the evaluation of resident’s care needs in consultation with the resident/relatives.  Care plans demonstrate service integration and are reviewed at least six monthly.  Resident files include notes by the general practitioner and other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medicines completes education and medicines competencies annually.  The electronic medication records reviewed include documentation of allergies and sensitivities and are reviewed at least three monthly by the general practitioner.</w:t>
      </w:r>
    </w:p>
    <w:p w:rsidRPr="00A4268A" w:rsidP="00621629">
      <w:pPr>
        <w:spacing w:before="240" w:line="276" w:lineRule="auto"/>
        <w:rPr>
          <w:rFonts w:eastAsia="Calibri"/>
        </w:rPr>
      </w:pPr>
      <w:r w:rsidRPr="00A4268A">
        <w:rPr>
          <w:rFonts w:eastAsia="Calibri"/>
        </w:rPr>
        <w:t>An activities programme is implemented separately for the rest home, hospital area and for the dementia care unit.  Residents and families reported satisfaction with the activities programme.  The programme includes community visitors and outings, entertainment and activities that meet the recreational preferences and abilities of the groups of residents.</w:t>
      </w:r>
    </w:p>
    <w:p w:rsidRPr="00A4268A" w:rsidP="00621629">
      <w:pPr>
        <w:spacing w:before="240" w:line="276" w:lineRule="auto"/>
        <w:rPr>
          <w:rFonts w:eastAsia="Calibri"/>
        </w:rPr>
      </w:pPr>
      <w:r w:rsidRPr="00A4268A">
        <w:rPr>
          <w:rFonts w:eastAsia="Calibri"/>
        </w:rPr>
        <w:t xml:space="preserve">All food and baking are done on site.  All residents' nutritional needs are identified and documented.  Choices are available and are provided.  Meals are well presented and a dietitian has reviewed the Bupa menu plans.  Nutritious snacks are available 24/7 in the dementia care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maintenance system in place.  External areas are safe and well maintained.  There are safe external walking pathways and gardens for the dementia care residents that are freely accessible.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regularly receive training around restraint minimisation and the management of challenging behaviour.  Restraint is not used in the service.  Currently there is one enabler (bedrail) used in the service.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 surveillance programme is documented and undertaken, and this is appropriate to the size and complexity of the service.  Results of surveillance are acted upon, evaluated and reported to relevant personnel in a timely manner.  There has been one outbreak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complaints, both verbal and written, by using a complaint register.  Documentation including follow-up letters and resolution, demonstrated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(including four from the rest home and two from the hospital) and relatives confirmed they were provided with information on complaints and complaints forms.  Complaints forms are in a visible location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nine complaints received in 2019.  Three reviewed during the audit showed evidence of appropriate follow-up actions taken and resolution of the issue in a timely manner.  Documentation reviewed reflected the service is proactive in addressing complaints.  Feedback is provided to staff and training for staff was completed where required.  There has been one complaint forwarded by an external authority since the last audit and this has been closed out with no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including four caregivers (three from Ocean View and Kauri wings and one from the dementia unit known as Tui Haven); four registered nurses (including two unit managers from Tui Haven and rest home/hospital wings); two activity staff, one activity coordinator; one maintenance staff, one kitchen manager/chef; two managers including the care home manager and clinical manager were able to describe the complaints process and stated that they valued complaints as a way of improving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communication with family/whānau is recorded on the family/whānau communication record, which is held in each resident’s file.  Accident/incident forms have a section to indicate if next of kin have been informed (or not) of an accident/incident.  Twenty-four accident/incident forms reviewed across the three service areas (from November 2019 to date), identified family are kept informed.  Relatives interviewed (three with a family member in the dementia unit, one in the hospital and one in the rest home)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policy and contact details of interpreters is available.  Interpreter services are used where indicated.  The information pack is available in large print and is read to residents who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Cedar Manor Rest Home and Hospital is a Bupa residential care facility.  The service currently provides care for up to 92 residents at hospital (geriatric and medical), dementia and rest home level care.  On the day of the audit there were 82 residents including; (i) 11 hospital residents and 25 rest home residents in the 37-bed Ocean View wing; (ii) 6 rest home residents and 22 hospital residents in the 37-bed Kauri wing; and (iii) 18 residents in the 18-bed secure dementia unit – Tui Haven.  There were no residents under the medical component of their certification.  All residents were on an ARCC contract.  There were no residents using respite care or under the age of 65 years.  There are 25 dual-purpose beds across the rest home and hospital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quality goals for the facility have been determined and in 2019 around being a dementia friendly care home; person first – dementia second training for staff; and advanced care plan information to be given to residents and discussed at multi-disciplinary meetings.  The goals were reviewed in May, August and November.  Planning is underway to document goals for 2020 that will link to the overarching Bupa strategic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Cedar Manor is part of the Midlands Bupa region and the managers from this region teleconference weekly and meet with the operations manager monthly.  The care home manager provides a weekly and monthly report to the Bupa care homes weekly group and to the operations manager respectively.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quarterly report is prepared by the care home manager and provided to the Bupa clinical service improvement team on the progress and actions that have been taken to achieve the Cedar Manor quality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robust quality and risk management systems implemented across its facilities.  Across Bupa, four benchmarking groups are established and data for Cedar Manor is compared with relevant other homes.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a background in administration and has been in the role since May 2018.  An experienced clinical manager has been in the role for the last two years and has had five years’ experience nursing in aged care.  The management team is supported by two unit-coordinators who are both registered nurses (one in the rest home/hospital area and one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The care manager completed a Leadership in Action certificate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programme is well established.  Interviews with the managers and staff (four caregivers; four registered nurses including two-unit coordinators; three activity staff; one maintenance; one kitchen manager/chef) reflected their understanding of the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resident falls, infection rates, complaints received, restraint use, pressure areas, wounds, and medication errors.  An annual internal audit schedule was sighted for the service, with evidence of internal audits occurring as per the audit schedule.  Quality and risk data, including trends in data and benchmarked results are discussed in staff meetings.  Corrective actions are implemented when service shortfalls are identified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Riskman is an electronic data collecting system.  All incidents, complaints, infections, pressure injuries, falls and category one incidents are completed on the online system.  Reports are automated and further analysis is completed of those reports.  Cedar Manor reports, analysis and subsequent corrective actions were sighted with follow-up of any corrective actions documented as resolved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meeting minutes/quality action forms/toolbox talks, demonstrated a culture of quality improvements.  Residents and family members were also able to talk about improvements made to the service and all were complimentary around the managers responsiveness to suggestions made for improvement.  Quality and risk data is shared with staff via meetings and results are displayed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An annual satisfaction survey completed by residents and family in 2019 showed an 85% overall satisfaction rating.  This was an improvement over all of 9% (in 2018 the overall satisfaction was at 76%).  Corrective actions were established in areas identified as below the national average.</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programme includes specific and measurable health and safety goals that are regularly reviewed.  There are two appointed health and safety representatives at Bupa Cedar Manor, and both were able to describe their role as per legislation.  One has completed level one health and safety training and the other level two.  The health and safety team meets monthly with issues and goals discussed.  Staff undergo annual health and safety training which begins during their orientation.  Two staff recently employed were able to describe their training as per the Health and Safety at Work Act.  Contractors are required to be inducted into the facility and sign a health and safety information sheet when this has been completed.  The hazard register is reviewed regularly.  Bupa belongs to the ACC partnership programme and has attained their tertiary level (expiry 31 March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to reduce the number of falls.  This includes ensuring call bells are placed within reach, the use of sensor mats, encouraging participation in activities, physiotherapy input and checking of residents at regular intervals.  Residents at risk of falling have a falls risk assessment completed with strategies implemented to reduce the number of falls.  Caregiver interviews confirmed that they are aware of which residents are at risk of falling and that this is discussed during staff handovers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focus on areas for improvement.  Significant work has been completed in the outside environment of the dementia unit to include activities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The organisation has implemented the RiskMan electronic monitoring system.  All incidents are coded in severity on RiskMan (severity 1-4) with 4 being the most severe.  All resident incidents logged with a severity of 3 or 4 are automatically escalated to the Bupa CSI (clinical services improvement) team immediately and the operations manager.  Actions are then followed-up and managed.  </w:t>
            </w:r>
          </w:p>
          <w:p w:rsidR="00EB7645" w:rsidRPr="00BE00C7" w:rsidP="00BE00C7">
            <w:pPr>
              <w:pStyle w:val="OutcomeDescription"/>
              <w:spacing w:before="120" w:after="120"/>
              <w:rPr>
                <w:rFonts w:cs="Arial"/>
                <w:b w:val="0"/>
                <w:lang w:eastAsia="en-NZ"/>
              </w:rPr>
            </w:pPr>
            <w:r w:rsidRPr="00BE00C7">
              <w:rPr>
                <w:rFonts w:cs="Arial"/>
                <w:b w:val="0"/>
                <w:lang w:eastAsia="en-NZ"/>
              </w:rPr>
              <w:t>Twenty-four accident/incident forms were reviewed across the three service areas (from November 2019).  Each event involving a resident reflected a clinical assessment and follow-up by a registered nurse.  Incidents are benchmarked and analysed for trends.</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aware of their requirement to notify relevant authorities in relation to essential notifications.  One gastric outbreak was notified to public health and DHB April 2019.  There were also two other section 31 notifications made to external authorities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Ten staff files (four registered nurses, chef , activity coordinator, four caregivers) reviewed, evidenced implementation of the recruitment process, employment contracts, completed orientation, and annual performance appraisals.  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orientation programme is developed specifically to worker type (eg, RN, support staff) and includes documented competencies.  New staff are buddied for a period of time (eg, caregivers for two weeks, and registered nurses for four weeks), and during this period they do not carry a clinical load.  The caregivers when newly employed complete an orientation booklet that has been aligned with foundation skills unit standards.  On completion of this orientation, they have effectively attained their first national certificates.  Currently 100% of the caregivers have level two.  From this, they are then able to continue with Core Competencies Levels 3 and 4, unit standards.  These align with Bupa policy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caregivers that can work in the dementia unit.  Four have completed level four of Careerforce and eight have completed a three-day training course on dementia facilitated by the dementia care advisor at Bupa.  Four registered nurses and two activity staff have also completed dementia training.  The unit manager (registered nurse) for Tui Haven has completed dementia training and training in the aging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with this aligned to policies.  All staff are required to complete the compulsory training, 75% of staff are required to complete core training and non-compulsory staff are attended on an as needs basis.  Targets are met as documented on an education record.  Opportunistic education is provided via toolbox talks.  Education and training for clinical staff is linked to external education provided by the district health board and through Bupa clinical training forums. </w:t>
            </w:r>
          </w:p>
          <w:p w:rsidR="00EB7645" w:rsidRPr="00BE00C7" w:rsidP="00BE00C7">
            <w:pPr>
              <w:pStyle w:val="OutcomeDescription"/>
              <w:spacing w:before="120" w:after="120"/>
              <w:rPr>
                <w:rFonts w:cs="Arial"/>
                <w:b w:val="0"/>
                <w:lang w:eastAsia="en-NZ"/>
              </w:rPr>
            </w:pPr>
            <w:r w:rsidRPr="00BE00C7">
              <w:rPr>
                <w:rFonts w:cs="Arial"/>
                <w:b w:val="0"/>
                <w:lang w:eastAsia="en-NZ"/>
              </w:rPr>
              <w:t>Bupa has a Nursing Council of New Zealand approved PDRP.  Bupa takes over the responsibility for auditing their qualified nurses.  The portfolio of the clinical manager was sighted and confirmed completion.  One other registered nurse has completed PDRP; three RNs are currently working on their portfolio on the Bupa Nursing Council approved PDRP.  Of the 15 registered nurses (RNs) at Cedar Manor, eight RNs have completed interRAI training and one other is due to complete the training in March 2020.  Two other registered nurses are enrolled in the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support work, registered nurse, and cleaner).  Core competencies are completed annually, and a record of completion is maintained (signed competency questionnaires sighted in reviewed files).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 competencies include assessment tools, BSLs/insulin administration, CD administration, moving and handling, nebuliser, oxygen administration, PEG tube care/feeds, restraint, wound management including management of pressure injuries, CPR and T34 syringe driver.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clinical manager is on call after hours with other registered nurses to answer queries and resolve issues.  The care home manager and clinical manager are available during weekdays.  Registered nurse cover is provided 24 hours a day, seven days a week.  Sufficient numbers of caregivers support the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Tui Haven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shift – unit coordinator (RN) Monday-Friday and senior caregiver Saturday/Sunday; two caregivers (one long shift, one short shift); one activities coordinator Monday-Friday 0945 – 1515. </w:t>
            </w:r>
          </w:p>
          <w:p w:rsidR="00EB7645" w:rsidRPr="00BE00C7" w:rsidP="00BE00C7">
            <w:pPr>
              <w:pStyle w:val="OutcomeDescription"/>
              <w:spacing w:before="120" w:after="120"/>
              <w:rPr>
                <w:rFonts w:cs="Arial"/>
                <w:b w:val="0"/>
                <w:lang w:eastAsia="en-NZ"/>
              </w:rPr>
            </w:pPr>
            <w:r w:rsidRPr="00BE00C7">
              <w:rPr>
                <w:rFonts w:cs="Arial"/>
                <w:b w:val="0"/>
                <w:lang w:eastAsia="en-NZ"/>
              </w:rPr>
              <w:t>PM shift – one registered nurse, two caregivers (one long shift,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 one caregiver who is supported and relieved for breaks by the registered nurse in Ocean View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Kauri wing: </w:t>
            </w:r>
          </w:p>
          <w:p w:rsidR="00EB7645" w:rsidRPr="00BE00C7" w:rsidP="00BE00C7">
            <w:pPr>
              <w:pStyle w:val="OutcomeDescription"/>
              <w:spacing w:before="120" w:after="120"/>
              <w:rPr>
                <w:rFonts w:cs="Arial"/>
                <w:b w:val="0"/>
                <w:lang w:eastAsia="en-NZ"/>
              </w:rPr>
            </w:pPr>
            <w:r w:rsidRPr="00BE00C7">
              <w:rPr>
                <w:rFonts w:cs="Arial"/>
                <w:b w:val="0"/>
                <w:lang w:eastAsia="en-NZ"/>
              </w:rPr>
              <w:t>AM shift – unit coordinator or clinical lead (RN) Monday-Sunday; five caregivers (three long shifts, two short shifts)</w:t>
            </w:r>
          </w:p>
          <w:p w:rsidR="00EB7645" w:rsidRPr="00BE00C7" w:rsidP="00BE00C7">
            <w:pPr>
              <w:pStyle w:val="OutcomeDescription"/>
              <w:spacing w:before="120" w:after="120"/>
              <w:rPr>
                <w:rFonts w:cs="Arial"/>
                <w:b w:val="0"/>
                <w:lang w:eastAsia="en-NZ"/>
              </w:rPr>
            </w:pPr>
            <w:r w:rsidRPr="00BE00C7">
              <w:rPr>
                <w:rFonts w:cs="Arial"/>
                <w:b w:val="0"/>
                <w:lang w:eastAsia="en-NZ"/>
              </w:rPr>
              <w:t>PM shift – one registered nurse, four caregivers (three long shifts,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 registered nurse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Activity person – Monday-Friday 0930 - 1530</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 View: </w:t>
            </w:r>
          </w:p>
          <w:p w:rsidR="00EB7645" w:rsidRPr="00BE00C7" w:rsidP="00BE00C7">
            <w:pPr>
              <w:pStyle w:val="OutcomeDescription"/>
              <w:spacing w:before="120" w:after="120"/>
              <w:rPr>
                <w:rFonts w:cs="Arial"/>
                <w:b w:val="0"/>
                <w:lang w:eastAsia="en-NZ"/>
              </w:rPr>
            </w:pPr>
            <w:r w:rsidRPr="00BE00C7">
              <w:rPr>
                <w:rFonts w:cs="Arial"/>
                <w:b w:val="0"/>
                <w:lang w:eastAsia="en-NZ"/>
              </w:rPr>
              <w:t>AM shift – registered nurse Monday-Sunday; three caregivers (two long shifts,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PM shift – one registered nurse; four caregivers (two long shift, two short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 one registered nurse; shared with dementia unit (Tui Haven), one caregiver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person – Monday-Friday 0830 - 1630.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physiotherapy assistant – Monday-Friday 0900 – 1300 and a physiotherapist who is contracted for six hours once a week and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mix of residents requiring different levels of care (hospital and rest home) in both Ocean View and Kauri.  Registered nurses and the clinical manager confirmed that the number of hours provided to hospital residents is monitored to ensure that they receive appropriate levels of care and residents on the day of audit were observed to have appropriate care and support.  Staffing (as per the rosters reviewed for the past three months) and staffing skill mix reflect acuity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and clinical managers confirmed that residents who require hospital level of care and who are lower acuity are provided with a room in Ocean View.  Hospital residents in Kauri wing are more independent. </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that staffing was sufficient.  Residents and relatives interviewed confirmed bells were answered in a timely manner and staffing was sufficient.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Medications were stored safely in the three units (communities).  Registered nurses or senior caregivers who administer medications have completed their annual competency assessment.  Medication education is provided annually.  The RNs check the robotic rolls on delivery against the electronic medication charts and sign a medication reconciliation checklist.  ‘As required’ medications are dispensed in individual robotic rolls or packets.  There were seven self-medicating rest home residents on the day of audit.  All residents had self-medicating competencies in place that were reviewed three monthly.  The medication fridge temperatures had been checked daily and medication air room temperatures had commenced with recordings of below 25 degrees Celsius.   A medication impress stock was held in the hospital unit and is maintained for hospital level residents.  Eyedrops in trolleys were dated on opening.  There were weekly checks of oxygen and suction equipment in the hospital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system.  Twelve medication charts were reviewed (four rest home, four hospital and four dementia).  All charts reviewed had photo identification an allergy status identified.  All medication charts evidenced three monthly reviews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 required’ medication had indications prescribed for use.  Effectiveness of ‘as required’ medication administered was documented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in a well-equipped kitchen adjacent to the hospital dining room.  The kitchen manager/chef is supported by a cook and morning and afternoon kitchenhands.  All food services staff have completed food safety and hygiene training.  The four weekly seasonal Bupa menu has been reviewed by a dietitian.  The menu reflects resident preferences as discussed at the resident meetings.  The kitchen manager receives resident nutritional requirement profiles and is notified of any dietary requirement.  Residents dislikes are known and accommodated.  Gluten free, vegetarian, diary free, pureed and soft diets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delivered to the dementia unit in a bain marie and served by caregivers.  Meals are delivered in a bain marie to the rest home dining room and served by kitchenhands.  Lip plates are provided to encourage resident independence with eating.  Staff were observed to be sitting with residents and assisting them with meals and fluids.  There were nutritious snacks available 24 hours in the dementia care satellite kitchenette including sandwiches, smoothies, fruit and yoghurts.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8 November 2020.  The temperatures of refrigerators, freezers, chiller, incoming chilled goods and end-cooked food temperatures are taken and recorded.  Serving temperatures are taken.  All food is stored appropriately, and date labelled.  Cleaning schedules are maintained.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have the opportunity to feedback on the service through meetings and surveys.  Residents and the family members interviewed commented positively on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 condition changes the RN initiates a GP visit or nurse specialist referral.  The family is notified of any changes in the resident health status including incidents/accident, infections, wounds, GP visits and medication changes.  A record of relative notifications is maintained on the family/whānau contact form in the resident file.  Relatives interviewed confirmed they are kept informed and the needs of their relatives are being met.  Short-term care plans are used to guide staff in the delivery of care to meet for short-term/acute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reviewed included a continence assessment and plan as part of the plan of care.  Specialist continence advice is available through the DHB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and wound dressings.  Wound assessments, wound management and evaluation forms were in place for 10 residents (rest home), six residents (hospital) and two residents in dementia care.  Wounds included skin tears, lesions, chronic wounds and leg ulcers.  Photos and/or documented sizes of wounds demonstrated healing.  There was one stage three community acquired pressure injury and one stage one (facility acquired) pressure injury on the day of audit.  There were pressure injury interventions in place for residents at risk of pressure injuries and pressure prevention equipment was seen to be in use.  There is evidence of the wound care nurse involved in wound care management.  The service has an RN as the wound care champion and RNs have attended the wound care seminar at the DHB and education provided by their product supplier.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utilised to monitor residents’ state of wellbeing and the effectiveness of interventions.  Monitoring forms reviewed included two hourly turning charts, nutritional records, fluid balance charts, bowel records, weekly/monthly weight, blood sugar levels, vital signs and behaviour charts and pain monitoring.  Neurological observations for unwitnessed falls or where there was an obvious knock to the head had been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(DT) and assessor who coordinates the activity programme for each of the communities in consultation with two other activity assistants.  There is a six-day week programme in the rest home, seven-day week programme in the hospital and Monday to Friday in the dementia community with caregivers incorporating activities into their roles after hours and in the weekends.  The activity staff rotate to provide activities in the weekend.  There are resident led activities in the rest home during the weekends.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their own programme with activities that meet the physical, intellectual, emotional abilities of the resident group.  Activities offered within the communities include a variety of exercises, quizzes, word games, card groups, arts and crafts, reminiscing, movies and sing-a-longs, walks and gardening.  One on one time is spent with residents who are unable to participate in the programme (poetry, walks, reading, chats), or choose to stay in their rooms.  Each unit has weekly van outings.  The van has a wheelchair hoist.  All the activity team have current first aid certificates.  There are many combined activities held where all residents (as appropriate and under supervision) are invited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Themes and festive celebrations are set down by Bupa such as beach time and picnics for the month of January.  Each community is holding BBQs in their gardens, inviting families.  There is a men’s group and lades group who enjoy outings of their interest.  Community links are maintained such as visits to the community men’s shed, RSA lunches and Salvation Army concerts.  Community visitors to the service include mobile library, Salvation Army, dog therapy, pre-school visits and church services.  Volunteer nursing students offer time with residents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 map of life (profile) and an activity assessment completed on admission.  Individual activity plans are incorporated in the long-term care plan which is evaluated six monthly at the MDT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meetings and direct feedback from residents and families.  Residents interviewed spoke positively about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initial care plans within three weeks of admission and long-term care plans six monthly.  The family/EPOA are invited to attend a multidisciplinary team meeting (MDT).  Members of the MDT include the GP, RN, care staff, DT/activity person, resident (as appropriate) and family member.  Care staff complete a resident data needs collection form prior to the MDT meeting.  Allied health professionals involved in the resident’s care such as the physiotherapist, psychogeriatric community nurse or dietitian provide input into the MDT evaluation of care.  Records of the MDT meeting are maintained, and the cares evaluated against the resident goals.  Any changes following the MDT meeting are updated on the care plan.  The family/EPOA are informed of any changes if they have been unable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evaluated weekly and either resolved or added to the long-term care plan if the problem is ongoing, as sighted in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(Ocean View, hospital (Kauri) and dementia (Tui Haven) communities are all located on the ground floor.  The building has a current warrant of fitness.  There is a full-time maintenance person.  A maintenance logbook for repairs is checked daily and repairs signed off as completed.  Contractors for essential services are available 24/7.  A 52-week planned maintenance schedule is maintained.  Medical equipment including hoists and weigh scales have been calibrated.  Electrical equipment has been tested and tagged.  Hot water temperatures in resident areas are monitored monthly and maintained below 45 degrees Celsius.  Indoor temperatures are monitored.  There is air conditioning in the hospital and rest home dining rooms. </w:t>
            </w:r>
          </w:p>
          <w:p w:rsidR="00EB7645" w:rsidRPr="00BE00C7" w:rsidP="00BE00C7">
            <w:pPr>
              <w:pStyle w:val="OutcomeDescription"/>
              <w:spacing w:before="120" w:after="120"/>
              <w:rPr>
                <w:rFonts w:cs="Arial"/>
                <w:b w:val="0"/>
                <w:lang w:eastAsia="en-NZ"/>
              </w:rPr>
            </w:pPr>
            <w:r w:rsidRPr="00BE00C7">
              <w:rPr>
                <w:rFonts w:cs="Arial"/>
                <w:b w:val="0"/>
                <w:lang w:eastAsia="en-NZ"/>
              </w:rPr>
              <w:t>The dementia residents have safe access to external grounds and gardens.  A previously grassed area has been developed over the last six months into a second secure outdoor environment with a walking pathway, raised gardens, aviary, water feature and deck area with a variety of activities such as sinks, clothesline, art and gardening bench.  Tui Haven has been refurbished including flooring and kiwiana pictorials.</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that they have all the equipment referred to in care plans necessary to provide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(clinical manager) uses the information obtained through surveillance to determine infection control activities, resources and education needs within the facility.  Internal infection control audits also assist the service in evaluating infection control needs.  There is close liaison with the general practitioners and laboratory that advise and provide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There is an outbreak management kit.  </w:t>
            </w:r>
          </w:p>
          <w:p w:rsidR="00EB7645" w:rsidRPr="00BE00C7" w:rsidP="00BE00C7">
            <w:pPr>
              <w:pStyle w:val="OutcomeDescription"/>
              <w:spacing w:before="120" w:after="120"/>
              <w:rPr>
                <w:rFonts w:cs="Arial"/>
                <w:b w:val="0"/>
                <w:lang w:eastAsia="en-NZ"/>
              </w:rPr>
            </w:pPr>
            <w:r w:rsidRPr="00BE00C7">
              <w:rPr>
                <w:rFonts w:cs="Arial"/>
                <w:b w:val="0"/>
                <w:lang w:eastAsia="en-NZ"/>
              </w:rPr>
              <w:t>Effective monitoring is the responsibility of the infection control coordinator.  This includes audits of the facility, hand hygiene and surveillance of infection control events and infections.  Surveillance data is available to all staff.  All infections are recorded electronically and included for benchmarking with other Bupa facilities.  Corrective actions are established where infections are above the benchmark.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outbreak of norovirus had been reported in 2019.  The outbreak was well managed.  The service kept communicating with residents and family throughout the outbreak and notified the district health board (who notified the Medical Officer of Health).  It was documented with a debrief meeting held.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Interviews with the staff confirmed their understanding of restraints and enablers.  At the time of the audit, the service was restraint free with only one resident using an enabler (bed rail).  Staff training around restraint minimisation was last completed in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Cedar Manor Rest Home &amp; Hospital</w:t>
    </w:r>
    <w:bookmarkEnd w:id="58"/>
    <w:r>
      <w:rPr>
        <w:rFonts w:cs="Arial"/>
        <w:sz w:val="16"/>
        <w:szCs w:val="20"/>
      </w:rPr>
      <w:tab/>
      <w:t xml:space="preserve">Date of Audit: </w:t>
    </w:r>
    <w:bookmarkStart w:id="59" w:name="AuditStartDate1"/>
    <w:r>
      <w:rPr>
        <w:rFonts w:cs="Arial"/>
        <w:sz w:val="16"/>
        <w:szCs w:val="20"/>
      </w:rPr>
      <w:t>16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