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Princes Court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Princes Court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February 2020</w:t>
      </w:r>
      <w:bookmarkEnd w:id="7"/>
      <w:r w:rsidRPr="009418D4">
        <w:rPr>
          <w:rFonts w:cs="Arial"/>
        </w:rPr>
        <w:tab/>
        <w:t xml:space="preserve">End date: </w:t>
      </w:r>
      <w:bookmarkStart w:id="8" w:name="AuditEndDate"/>
      <w:r w:rsidR="00A4268A">
        <w:rPr>
          <w:rFonts w:cs="Arial"/>
        </w:rPr>
        <w:t>19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Princes Court Lifecare provides dementia rest home level care for up to 35 residents. The service is operated by Heritage Lifecare Limited and managed by a care home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family members, management, staff and a general practitioner.  </w:t>
      </w:r>
    </w:p>
    <w:p w:rsidRPr="00A4268A">
      <w:pPr>
        <w:spacing w:before="240" w:line="276" w:lineRule="auto"/>
        <w:rPr>
          <w:rFonts w:eastAsia="Calibri"/>
        </w:rPr>
      </w:pPr>
      <w:r w:rsidRPr="00A4268A">
        <w:rPr>
          <w:rFonts w:eastAsia="Calibri"/>
        </w:rPr>
        <w:t xml:space="preserve">This audit has resulted in the identification of areas for improvement relating to staff requirements for current first aid certificates, chemical handling and furniture repairs.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and families is promoted and confirmed to be effective. There is access to interpreting services if required. Staff provide families with the information they need to make informed choices and give consent.</w:t>
      </w:r>
    </w:p>
    <w:p w:rsidRPr="00A4268A">
      <w:pPr>
        <w:spacing w:before="240" w:line="276" w:lineRule="auto"/>
        <w:rPr>
          <w:rFonts w:eastAsia="Calibri"/>
        </w:rPr>
      </w:pPr>
      <w:r w:rsidRPr="00A4268A">
        <w:rPr>
          <w:rFonts w:eastAsia="Calibri"/>
        </w:rPr>
        <w:t xml:space="preserve">There were no residents who identified as Māori at the time of audit. </w:t>
      </w:r>
    </w:p>
    <w:p w:rsidRPr="00A4268A">
      <w:pPr>
        <w:spacing w:before="240" w:line="276" w:lineRule="auto"/>
        <w:rPr>
          <w:rFonts w:eastAsia="Calibri"/>
        </w:rPr>
      </w:pPr>
      <w:r w:rsidRPr="00A4268A">
        <w:rPr>
          <w:rFonts w:eastAsia="Calibri"/>
        </w:rPr>
        <w:t xml:space="preserve">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families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provided shade and seating.  </w:t>
      </w:r>
    </w:p>
    <w:p w:rsidRPr="00A4268A">
      <w:pPr>
        <w:spacing w:before="240" w:line="276" w:lineRule="auto"/>
        <w:rPr>
          <w:rFonts w:eastAsia="Calibri"/>
        </w:rPr>
      </w:pPr>
      <w:r w:rsidRPr="00A4268A">
        <w:rPr>
          <w:rFonts w:eastAsia="Calibri"/>
        </w:rPr>
        <w:t>Waste and hazardous substances are well managed. Clinical staff use protective equipment and clothing; there is an area that requires improvement related to housekeeping staff. Chemicals, soiled linen and equipment are safely stored. Resident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Families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infection prevention and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8"/>
        <w:gridCol w:w="1280"/>
        <w:gridCol w:w="91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Princes Court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Family verified that staff are always respectful and communicate in a dignified manner.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reviewed showed that informed consent has been gained appropriately using the organisation’s standard consent form. Advance care planning, establishing, documenting and enacting enduring power of attorney requirements and processes for residents was in all files reviewed. Staff were observed to gain consent for day to day care in a gentle and calm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families are given a copy of the Code, which also includes information on the Advocacy Service. Posters and brochures related to the Advocacy Service were also displayed and available in the facility. Family members spoken with were aware of the Advocacy Service, how to access this and their right to have support persons. All verified they have not required the service since the previous audit but were informed at family meetings about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and Concerns Policy and associated forms which meet the requirements of Right 10 of the Code. Information on the complaint process is provided to families when a resident is admitted. Those interviewed knew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recorded complaints raised verbally as well as those received in writing and showed that five complaints have been received over the past year and that actions taken, through to an agreed resolution were documented and completed within the required timeframes. Action plans showed any required follow up and improvements have been made where possible. The care home manager (CHM)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interviewed reported being made aware of the Code and the Nationwide Health and Disability Advocacy Service (Advocacy Service) as part of the admission information provided and by the care home manager (CHM) on an ongoing basis, including at family meetings. The Code is displayed in the facility entrance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continuing to attend community activities, family arranging their own visits to the doctor and participation in clubs or outings.  Care plans included documentation related to the resident’s abilities, family input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will support residents in the service who identify as Māori to integrate their cultural values and beliefs. At the time of the audit there were no residents who identified as Māori. </w:t>
            </w:r>
          </w:p>
          <w:p w:rsidR="00EB7645" w:rsidRPr="00BE00C7" w:rsidP="00BE00C7">
            <w:pPr>
              <w:pStyle w:val="OutcomeDescription"/>
              <w:spacing w:before="120" w:after="120"/>
              <w:rPr>
                <w:rFonts w:cs="Arial"/>
                <w:b w:val="0"/>
                <w:lang w:eastAsia="en-NZ"/>
              </w:rPr>
            </w:pPr>
            <w:r w:rsidRPr="00BE00C7">
              <w:rPr>
                <w:rFonts w:cs="Arial"/>
                <w:b w:val="0"/>
                <w:lang w:eastAsia="en-NZ"/>
              </w:rPr>
              <w:t>There was a current Māori health plan developed with input from cultural advisers. Guidance on tikanga best practice was available and is supported by staff who identify as Māori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verified that they were consulted on their individual culture, values and beliefs and that staff respected these. Resident’s personal preferences, required interventions and special needs were included in care plans reviewed. For example, residents with outdoor and gardening preferences were observed tending to the outside and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felt their family member was safe at Princes Court Lifecare. The induction process for staff includes education related to professional boundaries, expected behaviours and the Code of Conduct. The registered nurses (RN) and enrolled nurse (EN)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and Princes Court Lifecare encourages and promotes good practice through evidence-based policies, input from external specialist services and allied health professionals, for example, the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routine two monthly family meetings. Two RNs and the EN all have been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were advised in a timely manner about any incidents or accidents and outcomes of regular and any urgent and routine medical reviews. All family interviewed were very complimentary about communication since the appointment of the current care home manager (CHM).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An observation during the audit of the EN interaction with a resident during meal service demonstrated clear, calm and effective communication skills.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speak English as their first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monthly/quarterly reports to the operations manager showed adequate information to monitor performance is reported including financial performance, occupancy, human resources, health and safety, incidents, accidents and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holds relevant qualifications and has been working in adult mental health and care of people with dementia for over ten years and in this role for seven months. Responsibilities and accountabilities are defined in a job description and individual employment agreement. The care home manager confirmed knowledge of the sector, regulatory and reporting requirements and maintained currency through study days, interaction with other health providers and the organisation’s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long term care and respite for residents with a diagnosis of dementia. Twenty eight residents were receiving services at the time of audit; 26 long term and two respite.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manager is absent, the enrolled nurse supported by a registered nurse at a neighbouring facility, carries out all the required duties under delegated authority. During absences of key clinical staff, the clinical management is overseen by another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reflected the principles of continuous quality improvement. This includes management of incidents and complaints, audit activities, monitoring of outcomes, clinical incidents including infections, pressure injuries, skin tears, falls, unintended weight loss and behavioural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and reports reviewed confirmed regular review and analysis of quality indicators and that related information is reported and discussed at the quality meeting, clinical staff meeting and all staff meeting. Staff reported their involvement in quality and risk management activities through audit activities, and meeting attendance.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have not been completed since the transfer to Heritage Lifecare, however regular family meetings keep family informed and provide a forum for issues to be raised. Meeting minutes and interviews with family showed a high level of satisfaction with the service. Where issues are identified relevant corrective actions are developed and implemented to address any shortfalls. Satisfaction surveys are planned for May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organisation’s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enrolled nurse and health and safety representative described the processes for the identification, monitoring, review and reporting of risks and development of mitigation strategies. A hazard and risk register is maintained and visible to staff. The requirements with the Health and Safety at Work Act (2015) are understood by the care home manager who is responsible for implementing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General Manager Clinical and Quality who reports to the executive team and the Board.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essential notification reporting requirements, including for pressure injuries. They advised there have been eight notifications of significant events made to the Ministry of Health since the last audit. Documentation related to these events showed appropriate actions were taken including investigation, reporting and follow 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six week, and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18 carers have completed the required dementia care education and three are enrolled and have commenced the training supported by the registered nurse who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responsible for interRAI assessments supported by the enrolled nurse. Both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Family members interviewed supported this. Observations and review of six-week roster cycle confirmed adequate staff cover has been provided, with staff replaced in any unplanned absence. Not all shifts have a staff member on duty with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Specialist referral to the service was confirmed and EPOA consent for admission sighted in all files reviewed. Prospective residents’ families are encouraged to visit the facility prior to admission and are provided with written information about the service and the admission process. The organisation seeks updated information from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 documented transfer system to facilitate transfer of residents to and from acute care services. There is open communication between all services and the family. At the time of transition between services, appropriate information is provided for the ongoing management of the resident. All referrals are documented in the progress notes. An example reviewed of a patient recently transferred to the local acute care facility showed documentation and processes completed.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if in use, are stored securely in accordance with requirements and checked by two staff for accuracy when administering (verified in register). The controlled drug register provided evidence of previous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Self-medication is not appropriate for this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pastry chef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Ashburton District Council on 2 March 2019. Food temperatures, including for high 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always have access to food and fluids to meet their nutritional needs 24 hours a day, seven days a week.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family interviews and family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behaviour, pain scale, falls risk, skin integrity, nutritional screening, continence and depression scale, to identify any deficits and to inform care planning. The sample of care plans reviewed had an integrated range of resident-related information. All residents had current interRAI assessments completed by one of the trained interRAI assessors on site.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Behaviour management plans including triggers and strategies were included in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very good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two assistants and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Families are involved in evaluating and improving the programme through individual discussions, family meetings and satisfaction surveys. Families interviewed confirmed they find the programme varied and appropriate.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specific to the needs and abilities of people living with dementia. Activities are offered at times when residents are most physically active and/or restless. This includes in the evenings. A 24 hour seven day a week approach to activities is included that incorporates the resident’s life, preferences and past routines.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continence, behaviour, mobility and poor nutrition. When necessary, and for unresolved problems, long term care plans are added to and updated. Families interviewed provided examples of involvement in evaluation of progress and any resulting changes and were very complimentary of discussions and information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families are supported to access or seek referral to other health and/or disability service providers for their relative. If the need for other non-urgent services are indicated or requested, the GP or RN sends a referral to seek specialist input. Copies of referrals were sighted in residents’ files, including to the optician and podiatrist.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There are guidelines for the correct disposal of bodily waste, handling hazardous waste and procedures for waste disposal, including the disposal of glass, sharps, and dressings. A contracted company removes onsite waste.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Chemicals were stored securely, appropriate signage is displayed where necessary, and material safety data sheets were available where chemicals are stored.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Personal protective clothing appropriate to the risks associated with the handling of chemicals was available; however, housekeeping staff were not able to describe or demonstrate the correct personal protective clothing/equipment to wear when handling individual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expires 1 May 2020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appropriate to the resident group and setting. Ease of access from internal areas to outside gardens which are safe encourages purposeful walking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12 rooms with an ensuite toilet and hand basin shared between two rooms and shared shower and toilet facilities for the remaining rooms. Appropriately secured and approved handrails are provided in the toilet/shower areas, and other equipment/accessories are available to promote residents’ independence. There are separate staff and visitor toilets.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families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are spacious and enable easy access for residents and staff. Residents can access their own rooms for privacy or quiet space if required. Furniture is appropriate to the setting and residents’ needs. However, it is in need of repair and therefore difficult to clean. This poses a risk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laundry is undertaken on site in a dedicated laundry. Care staff/dedicated laundry staff demonstrated a sound knowledge of the laundry processes, dirty/clean flow and handling of soiled linen. Family interviewed reported the laundry is managed well and their relative’s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Linen is laundered off site by a contracted provider and delivered twice weekly and staff reported no problems with the supply of linen.</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as confirmed in interview of cleaning staff and training records. Chemicals were stored in a lockable cupboard and were in appropriately labelled containers. Cleaning trolleys are not left unattended; this was confirmed by interview and observation.</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11 April 2011 and has been confirmed to remain current. A trial evacuation takes place six-monthly with a copy sent to the New Zealand Fire Service, the most recent being on 22 January 2020.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torches, batteries and gas BBQs were sighted and meet recommendations for the region. Water is stored in 20 litre containers and replaced annually.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and a doorbell alarm notifies staff of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overlook outside gardens. Heating is provided by a gas-powered ceiling heating system and heat pumps in the communal areas. Areas were warm and well ventilated throughout the audit and staff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developed at organisational level with input from infection prevention and control advisors.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enrolled nurse is the designated infection control nurse, whose role and responsibilities are defined in a job description. The enrolled nurse is supported by the care home manager and has access to advice from the DHB. Infection control matters, including surveillance results, are reported monthly to the care home manager, and tabled at the quality committee meeting and at wider staff meetings. This committee includes the care home manager, infection control nurse, the health and safety officer, and representatives from maintenance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the process for placing signage at the front door advising of the risk of entry should an outbreak occur and a box of equipment including signage and PPE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about how long they must stay away from work if they have been unwell. Staff interviewed understood these related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appropriate skills, and knowledge for the role, and has been in this role for seven months. Training records sighted confirmed IPC training has been included in facility study days attended by the enrolled nurse. Confirmation of external training booked to commence this year through the local polytechnic was sighted. Additional support and information are accessed from the infection control team at the DHB, the community microbiologist and the GP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are reviewed annually at organisational level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laundry and kitchen staff were observed following organisational policies, such as appropriate use of hand-sanitisers, good hand-washing technique and use of disposable aprons and gloves. Housekeeping staff were unsure of the correct PPE to use (refer criteria 1.4.1.6).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and the education plan reviewed. Interviews, observation and documentation verified staff have received education in infection prevention and control at orientation and ongoing education sessions. Education is provided by a registered nurse or the infection prevention and control nurse. Content of the training is documented and evaluated to ensure it is relevant, current and understood. Education has included hand washing and topics identified as relevant through the infection surveillance programme; an example of this is the increased focus on urinary infection prevention and treatment identified as relevant from the increased numbers of infections seen in surveillance reporting. Care staff interviewed confirmed the education was relevant, appropriate and understood. A record of attendance is maintained. There have been no infection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Education for residents is usually on a one to one basis, for example, reminding residents about handwashing. No residents were in isolation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all identified infections. Infection identification is based on review of symptoms and clinical judgement and rather than focusing on laboratory results. Infections reported include urinary tract, soft tissue, fungal, eye, gastro-intestinal, the upper and lower respiratory tract and scabies. The infection control nurse reviews all reported infections, and these are documented in a summary form.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the quality committee meeting, regular staff meetings and at staff handovers. Monthly surveillance data is collated and analysed to identify any trends, possible causative factors and required actions and this is reported to the care home manager, quality committee and in monthly reports to the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Examples of infection surveillance reports sighted confirmed reporting is appropriate and demonstrated a process for follow up. Learnings from repeat infections identified have informed residents’ care and identified staff education needs. This was confirmed by a review of records and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There has been no use of either since the previous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97"/>
        <w:gridCol w:w="1280"/>
        <w:gridCol w:w="6341"/>
        <w:gridCol w:w="2424"/>
        <w:gridCol w:w="22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a document ‘Allocation of Staff/Duty Rosters’, which described the process for determining staffing levels and skill mixes. A base roster is set according to the needs of the residents and is adjusted depending on occupancy, acuity and changing needs in order to provide safe service delivery, 24 hours a day, seven days a week. Diversional therapy staff are rostered seven days a week. Care staff reported there were adequate staff available to complete the work allocated to them. Family members interviewed supported this. Observations and review of a six-week roster cycle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and when the enrolled nurse is on call she is supported by a registered nurse from a neighbouring facility. Staff reported that good access to advice was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enrolled nurse have current first aid certificates and in the evening and at night a carer with a first aid certificate is rostered on duty; however, in the roster cycle reviewed up to five shifts per week did not have a ‘first aider’ on duty. Training is planned and evidence of this was sighted; however, until this occurs there is a risk to residents and a need for improvement.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Carers complete a first aid certificate; however, not all shifts in the rosters sighted had a person with a first aid certificate on duty.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first aid training has occurred and all shifts have a person with a first aid certificate on duty.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1.4.1.6</w:t>
            </w:r>
          </w:p>
          <w:p w:rsidR="00EB7645" w:rsidRPr="00BE00C7" w:rsidP="00BE00C7">
            <w:pPr>
              <w:pStyle w:val="OutcomeDescription"/>
              <w:spacing w:before="120" w:after="120"/>
              <w:rPr>
                <w:rFonts w:cs="Arial"/>
                <w:b w:val="0"/>
                <w:lang w:eastAsia="en-NZ"/>
              </w:rPr>
            </w:pPr>
            <w:r w:rsidRPr="00BE00C7">
              <w:rPr>
                <w:rFonts w:cs="Arial"/>
                <w:b w:val="0"/>
                <w:lang w:eastAsia="en-NZ"/>
              </w:rPr>
              <w:t>Protective equipment and clothing appropriate to the risks involved when handling waste or hazardous substances is provided and used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Housekeeping staff are the designated chemical handlers and have received training as confirmed by a review of staff files. Two housekeeping staff interviewed described the chemicals they use in their daily work and correctly identified how to isolate and manage a chemical spill.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which is appropriate to the risks of handling the chemicals used, including gloves, aprons and face shields. However, housekeeping staff were unable to describe or demonstrate the correct personal protective equipment (PPE) to wear when handling individual chemicals. Material data sheets which detail the PPE to be worn when handling each chemical are available where the chemicals are stored; however, the two housekeeping staff interviewed were not aware of this information and could not demonstrate where it would be found. This was confirmed by observation and interview.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Housekeeping staff, have completed chemical handling training; however, they were not aware of the risks of handling chemicals, could not demonstrate were this information can be found and could not demonstrate the correct personal protective clothing to wear.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involved in the handling of chemicals, are aware of the risks associated with the use of chemicals, know where information related to this can be found and can demonstrate the correct use of personal protective clothing.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1.4.5.1</w:t>
            </w:r>
          </w:p>
          <w:p w:rsidR="00EB7645" w:rsidRPr="00BE00C7" w:rsidP="00BE00C7">
            <w:pPr>
              <w:pStyle w:val="OutcomeDescription"/>
              <w:spacing w:before="120" w:after="120"/>
              <w:rPr>
                <w:rFonts w:cs="Arial"/>
                <w:b w:val="0"/>
                <w:lang w:eastAsia="en-NZ"/>
              </w:rPr>
            </w:pPr>
            <w:r w:rsidRPr="00BE00C7">
              <w:rPr>
                <w:rFonts w:cs="Arial"/>
                <w:b w:val="0"/>
                <w:lang w:eastAsia="en-NZ"/>
              </w:rPr>
              <w:t>Adequate access is provided where appropriate to lounge, playroom, visitor, and dining facilities to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Lounge, dining and garden areas are available for residents to engage in activities. The dining and lounge areas are spacious and the lounge areas can be divided into two to enable smaller group activities. There is easy access for residents and staff from within the facility and from the garden areas. Residents can access their own rooms for privacy or quiet space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range of dining and lounge furniture is appropriate to the setting and to residents’ needs. However, furniture is worn and soft covering vinyl is split, threadbare or with patches missing. The difficulty of maintaining appropriate standards of cleaning for this furniture poses a risk to residents and the furniture requires repair or replacement.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Dining and lounge furniture is worn with soft covering vinyl split, threadbare or with patches missing. This poses a risk to residents due to the difficulty of cleaning and requires repair or replacement.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dining and lounge furniture has been repaired or replaced.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Princes Court Lifecare</w:t>
    </w:r>
    <w:bookmarkEnd w:id="58"/>
    <w:r>
      <w:rPr>
        <w:rFonts w:cs="Arial"/>
        <w:sz w:val="16"/>
        <w:szCs w:val="20"/>
      </w:rPr>
      <w:tab/>
      <w:t xml:space="preserve">Date of Audit: </w:t>
    </w:r>
    <w:bookmarkStart w:id="59" w:name="AuditStartDate1"/>
    <w:r>
      <w:rPr>
        <w:rFonts w:cs="Arial"/>
        <w:sz w:val="16"/>
        <w:szCs w:val="20"/>
      </w:rPr>
      <w:t>18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