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The Orchards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Orchards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February 2020</w:t>
      </w:r>
      <w:bookmarkEnd w:id="7"/>
      <w:r w:rsidRPr="009418D4">
        <w:rPr>
          <w:rFonts w:cs="Arial"/>
        </w:rPr>
        <w:tab/>
        <w:t xml:space="preserve">End date: </w:t>
      </w:r>
      <w:bookmarkStart w:id="8" w:name="AuditEndDate"/>
      <w:r w:rsidR="00A4268A">
        <w:rPr>
          <w:rFonts w:cs="Arial"/>
        </w:rPr>
        <w:t>17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Orchards provides rest home and hospital level care for up to 36 residents.  The service is owned and operated by Metlifecare Limited and is the care facility within the Metlifecare - Orchards Retirement Village.  The nurse manager is a registered nurse.  Residents and families spoke positively about the care provided.</w:t>
      </w:r>
    </w:p>
    <w:p w:rsidRPr="00A4268A">
      <w:pPr>
        <w:spacing w:before="240" w:line="276" w:lineRule="auto"/>
        <w:rPr>
          <w:rFonts w:eastAsia="Calibri"/>
        </w:rPr>
      </w:pPr>
      <w:r w:rsidRPr="00A4268A">
        <w:rPr>
          <w:rFonts w:eastAsia="Calibri"/>
        </w:rPr>
        <w:t xml:space="preserve">The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The audit identified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by the nurse manager and complaints are resolved promptly and effectively when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The nurse manager works full time at the facility and monitors the services provided.  The nurse manager is well supported by senior registered nurses, an efficient team of care staff and domestic staff. The nurse manager reports to the regional clinical manager. </w:t>
      </w:r>
    </w:p>
    <w:p w:rsidRPr="00A4268A">
      <w:pPr>
        <w:spacing w:before="240" w:line="276" w:lineRule="auto"/>
        <w:rPr>
          <w:rFonts w:eastAsia="Calibri"/>
        </w:rPr>
      </w:pPr>
      <w:r w:rsidRPr="00A4268A">
        <w:rPr>
          <w:rFonts w:eastAsia="Calibri"/>
        </w:rPr>
        <w:t>The quality and risk management system includes collection and analysis of quality improvement data and identifies trends.  Staff are kept informed of findings.  Staff are involved in making improvements,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undertaken by the nurse manager. A systematic approach to identify and deliver ongoing training supports service delivery.  An in-service education programme is provided, and staff are encouraged to complete a New Zealand Qualification Authority education programme.  </w:t>
      </w:r>
    </w:p>
    <w:p w:rsidRPr="00A4268A">
      <w:pPr>
        <w:spacing w:before="240" w:line="276" w:lineRule="auto"/>
        <w:rPr>
          <w:rFonts w:eastAsia="Calibri"/>
        </w:rPr>
      </w:pPr>
      <w:r w:rsidRPr="00A4268A">
        <w:rPr>
          <w:rFonts w:eastAsia="Calibri"/>
        </w:rPr>
        <w:t xml:space="preserve">Staffing levels and skill mix meet the changing needs of residents.  Adequate staff are on duty and registered nurses cover the service twenty-four hours a day, seven days a week. The nurse manager and a senior nurse are on-call after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and general practitioners assess residents’ needs on admission. Residents receive services in a competent and timely manner. Care plans are individualised, based on a comprehensive range of information and accommodate any new problems that might arise. Files reviewed demonstrated that the care provided meets the residents’ assessed needs. Residents’ needs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Orchards has a safe medicines management system in place using pre-packaged medicines and an e-prescribing system. Medication is administered by staff who are competent to do so. Medication reviews were completed by the general practitioner (GP) in a timely manner.</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with a current food safety plan in place.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publicly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facility has clear policies and procedures that meet the requirements of the restraint minimisation and safe practice standard.  There were no residents using a restraint or an enabler at the time of audit.  Staff interviewed demonstrated a sound knowledge and understanding about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Orchards has an infection control surveillance programme suitable to the size and scope of the service, led by an experienced and trained infection control coordinator. Infection rates and antibiotic use are monitored. Data on infections is collated, analysed and trends identified and acted upon where required. The programme is reviewed annually. There has been no infection outbreak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had been received since the previous audit and that actions were taken through to an agreed resolution and were documented and completed within the required timeframes.  Action plans showed any required follow up and improvements have been made where possible.  The nurse manager interviewed is the complaints officer and is responsible for complaints management and follow up. All staff interviewed confirmed a sound understanding of the complaint process and what actions are required. There have been no complaints received from external sources since the previous audit. A hard copy complaints register is being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kept well informed about any changes to their/their relative’s health status, were advised in a timely manner about any incidents or accidents and outcomes of regular and any urgent medical reviews. This was supported in residents’ records reviewed. Staff understood the principles of open disclosure, which is supported by policies and procedures (reviewed April 2019)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Contact numbers for the Health and Disability Advocacy Service, local Iwi Maori Support Service, Nga Tai Ki Tamaki and Ngati Paua were on the notice board in the reception area. Family and staff members are available to interpret as needed for the residents of various Pacifika nationalities and the residents that identify as Maori. The staff know the residents well and communication cards can be utilised if required. Residents with any sensory impairments had this documented on their individual long-term care plans reviewed. Appropriate resources and equipment were sighted. </w:t>
            </w:r>
          </w:p>
          <w:p w:rsidR="00EB7645" w:rsidRPr="00BE00C7" w:rsidP="00BE00C7">
            <w:pPr>
              <w:pStyle w:val="OutcomeDescription"/>
              <w:spacing w:before="120" w:after="120"/>
              <w:rPr>
                <w:rFonts w:cs="Arial"/>
                <w:b w:val="0"/>
                <w:lang w:eastAsia="en-NZ"/>
              </w:rPr>
            </w:pPr>
            <w:r w:rsidRPr="00BE00C7">
              <w:rPr>
                <w:rFonts w:cs="Arial"/>
                <w:b w:val="0"/>
                <w:lang w:eastAsia="en-NZ"/>
              </w:rPr>
              <w:t>Each week the updated activities calendar is placed in the hallway near the main lounge/dining area to remind residents of what is being provided for them each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 for July 2019 – June 2020 was reviewed and includes an executive summary, strengths and weaknesses, opportunities and threats to the organisation, goals, actions, measures and budget planning/financial details.  The plan, which is reviewed quarterly, outlines the purpose, values, scope, direction and goals of the organisation. The documents described annual and longer-term objectives and the associated operational plans. Emphasis is on customer satisfaction and financial performance and building relationships within the community. Safety at work is promoted and ensuring the Treaty of Waitangi principles underpin the Maori health strategies.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nurse manager who has been in this role since June 2019. The nurse manager holds relevant qualifications and is experienced in the aged care sector. Responsibilities and accountabilities are defined in a job description and individual employment agreement.  The nurse manager confirmed knowledge of the regulatory and reporting requirements and maintains currency through external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services for up to thirty-six residents. The service holds contracts for rest home and hospital level care inclusive of respite care with the District Health Board. On the day of audit there were thirty-three (33) residents, twenty two (22) hospital level care and ten (10) rest home level care residents one (1) of whom was respite care, receiving services under the ARRC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and satisfaction surveys. The continuous quality improvement plan (CQIP) July – June 2020, which is reviewed quarterly, documented a commitment from management to provide quality services, active leadership was encouraged and everyone had a responsibility for quality.  The CQIP plan is linked to the organisation’s business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and staff meetings. Staff reported their involvement in quality and risk management activities through discussions in staff meetings and audit findings.  Resident and family satisfaction surveys are completed annually.  The most recent survey in September 2019 demonstrated follow-up and/or interventions or outcomes of any concerns. Overall residents and families were very happy with the care provided. Action plans are developed and implemented where shortfalls are identified in quality data which is collected, analysed and evaluated (e.g., complaints management,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were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nurse manager was familiar with the Health and Safety at Work Act (2015) and has implemented requirements and is the health and safety representative for The Orchards.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onto the electronic system in place for the organisation. The process was explained by the nurse manager. A sample of incidents reviewed showed these were fully completed, incidents were investigated, action plans developed and actions followed-up in a timely manner.  Adverse event data is collated and reported to the regional clinical manager (RCM). The nurse manager interviewed confirmed that she is notified of high-risk concerns or any opportunities for continuous quality improvement. Staff interviewed were well informed of their responsibilities. The nurse manager and the regional clinical manager interviewed, stated benchmarking occurs across the Metlifecare facilities. Information from this facility is reviewed directly by the RCM and further reviewed by the organisation’s clinical director at support office monthly. This is then discussed with the wider group of nurse managers, RCMs and CD at the two monthly clinical management team meetings. Feedback is provided to the staff monthly at the quality and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was able to describe essential notification reporting requirements, including for pressure injuries.  There have been no notifications (section 31 notices) made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for all health professionals employed.  A sample of staff records reviewed confirmed the organisation’s supporting health professionals had up-to-date APCs. All staff have been vetted by the NZ Police.  Referee checks have been undertaken. Six of six staff folders reviewed showed evidence of annual performance appraisals.  Confirmation of the chef and kitchen assistants having achieved safe food handling qualifications was sighted.  Job descriptions for the infection control coordinator and restraint coordinator were allocated to appropriate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elective education is planned on an annual basis including mandatory training requirements. Attendance records confirmed that all care staff are participating in regular training provided. The nurse manager is attending ongoing training relevant for managers of aged care facilities. Of twenty caregivers employed, seven (7) have completed the National Certificate in Health and Wellbeing (level 4), two (2) have completed level three, two (2) level 2 and eight (8) level 1, meeting the requirements of the services agreement with the DHB. The diversional therapist has completed Level 3 and Level 4 qualifications in brain injury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registered nurses, including the nurse manager, employed to cover this service. Four registered nurses, including the nurse manager, are fully interRAI competent and maintain this status annually to undertake interRAI assessments. Records reviewed demonstrated completion of the required training and completion of annual performance appraisals. The registered nurses maintain their own portfolios required by the New Zealand Nursing Council.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documented and implemented process for determining staffing levels and skill mixes to provide safe service delivery, 24 hours a day, seven days a week (24/7). The nurse manager works Monday to Friday. There is at least one RN on site 24/7. An afterhours on call roster is in place, with staff reporting that good access to advice is available when needed.  The GP is on call 24/7 and reported satisfaction with this arrangement. One new graduate nurse commenced employment the day of the audit and has a contract for one year. A review of a four-week roster cycle confirmed adequate staff cover has been provided, with staff replaced in any unplanned absence. At least one staff member on duty has a current first aid certificate. Staff interviewed reported that there were enough staff available to meet residents’ needs and this was confirmed by observations on the days of audit. Residents and family members interviewed stated that they had no concerns with care or availability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Orchards has a safe system for medicine management using an electronic system that is in line with the Medicines Care Guide for Residential Aged Care. The RN was observed administering lunch time medication and they demonstrated good knowledge and had a clear understanding of their roles and responsibilities related to each stage of medicine management.  All staff who administer medicines are competent to perform the function they manage and current medication administration competencies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pharmacy provides medications to the facility in a pre-packaged format. The RNs are responsible for medication reconciliation on the resident’s readmission to the facility from acute care services and they check the medication received from the pharmacy against the prescription. This was verified in electronic records reviewed. There were no expired medicines in stock on the days of the audit. Clinical pharmacist input is provided six-monthly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fridge and the medication room temperatures reviewed were within the recommended range. The required three-monthly GP reviews were consistently recorded on the prescription charts, photos were current, and allergies documented. Documentation requirements for pro re nata (PRN) medicines and administered medicines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residents who were self-administer medications at the time of audit. Appropriate processes were in place to ensure this is managed in a safe manner. Medication self-administration assessments and consent forms were sighted. The medicines were stored safely in the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No vaccines are stored on-site.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Corrective actions were completed in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kitchen assistants and is in line with recognised nutritional guidelines for older people. The menu follows summer, winter and autumn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Food temperatures, including for high risk items, cooking, cooling and serving temperatures are monitored appropriately and recorded as part of the plan. Fridge and freezer temperatures are monitored on site and remotely by an external provider. Monitoring records were sighted on the day of the audit. The chef has undertaken a safe food handling qualification, with kitchen assistants completing relevant food handling training - records of this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RNs complete a dietary requirement form on admission to the facility. The personal food preferences, any special diets and modified texture requirements are made known to kitchen staff including any changes and are accommodated in the daily meal plan. Copies of the resident’s dietary requirements forms were sighted in the kitchen file.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and there was no expired food in stock in the pantry. Cleaning schedules were sighted. Residents’ satisfaction with meals was verified by resident and family interviews, satisfaction surveys and resident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All interRAI assessment triggered items were addressed in the long-term care plans reviewed. The interviewed GP verified that medical input is sought in a timely manner, that medical orders are followed, and care is provided as recommended. Care staff confirmed that care was provided as outlined in the documentation. Appropriate equipment and resources were available to meet individual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the activities coordinator who is a trained diversional therapist, holding the national Certificate in Diversional Therapy. On the day of the audit, the regular activities coordinator was away on leave and a caregiver who is in the process of completing level four training in diversional therapy was covering. The activities coordinator completes residents’ activities needs assessment within 48 hours of admission to ascertain residents’ needs, interests, abilities and social requirements with the help of the residents and/or family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A preadmission form that provides information on past and present hobbies is given to prospective residents at inquiry stage and they bring it back completed at the time of admission. Individual activities plans were sighted in reviewed files. A monthly activities programme is completed by the activities coordinator. The monthly activities programme is posted on the notice boards around the facility and in residents’ individual rooms for easy access. The acting activities coordinator reported that residents were reminded daily of the activities on the planner.</w:t>
            </w:r>
          </w:p>
          <w:p w:rsidR="00EB7645" w:rsidRPr="00BE00C7" w:rsidP="00BE00C7">
            <w:pPr>
              <w:pStyle w:val="OutcomeDescription"/>
              <w:spacing w:before="120" w:after="120"/>
              <w:rPr>
                <w:rFonts w:cs="Arial"/>
                <w:b w:val="0"/>
                <w:lang w:eastAsia="en-NZ"/>
              </w:rPr>
            </w:pPr>
            <w:r w:rsidRPr="00BE00C7">
              <w:rPr>
                <w:rFonts w:cs="Arial"/>
                <w:b w:val="0"/>
                <w:lang w:eastAsia="en-NZ"/>
              </w:rPr>
              <w:t>There are group activities and individual activities planned. The activities are combined for rest home and hospital level residents. Residents have access to community events and community outings.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participation register was completed daily and activity plans were evaluated six-monthly by the activities coordinator. This was verified in reviewed files. Residents were observed participating in a variety of activities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were involved in evaluating and improving the programme through residents’ meetings and satisfaction surveys as confirmed by meeting minutes sighted. Interviewed residents reported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by caregivers. The caregivers reported that any change noted is reported to the RNs.  Reviewed care plans were evaluated six-monthly following interRAI assessments. The degree of achievement of goals was indicated. Where progress was different from expected, the service responded by initiating changes to the plan of care. Short term care plans were evaluated regularly and closed off when the condition had resolved. Unresolved conditions were transferred to long term care plan, as confirmed in the records reviewed. Residents and family members interviewed confirmed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dated expiry 22 March 2020 was publicly displayed near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Orchard’s infection surveillance programme is appropriate for the size and complexity of the service. Infection data is collected, monitored and reviewed monthly by the infection control coordinator. The data is collated and analysed to identify any significant trends or common possible causative factors - monthly records were sighted. All results of surveillance and specific recommendations to assist in achieving infection reduction and prevention was shared with all staff. Interviewed staff reported that they were informed of infection rates at monthly staff meetings and through compiled reports. There was evidence that the organisation researches and follows up on any concerns regarding best practice for diagnosing and treating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infections being monitored included urinary tract, soft tissue, eye, gastro-intestinal, the upper and lower respiratory tract, influenza like illness and wounds.  Interviewed staff confirmed that new infections and any required management plans were discussed at handover, to ensure early intervention occurs. Data is benchmarked against other facilities owned by the same organisation. The infection control coordinator reported that benchmarking has provided assurance that infection rates in the facility are below average for the sector. No infection outbreak has been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provided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On the day of audit, no residents were using restraints and no residents were using enablers, which, when used are the least restrictive and used voluntarily on request. A similar process is followed for the use of enablers as is used for restraints. Restraint is only used as a last resort when all alternatives have been explored. Staff interviewed understood the difference between a restraint and an enabler.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The Orchards</w:t>
    </w:r>
    <w:bookmarkEnd w:id="58"/>
    <w:r>
      <w:rPr>
        <w:rFonts w:cs="Arial"/>
        <w:sz w:val="16"/>
        <w:szCs w:val="20"/>
      </w:rPr>
      <w:tab/>
      <w:t xml:space="preserve">Date of Audit: </w:t>
    </w:r>
    <w:bookmarkStart w:id="59" w:name="AuditStartDate1"/>
    <w:r>
      <w:rPr>
        <w:rFonts w:cs="Arial"/>
        <w:sz w:val="16"/>
        <w:szCs w:val="20"/>
      </w:rPr>
      <w:t>17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