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Patricks Limited - St Patricks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Patricks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Patricks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February 2020</w:t>
      </w:r>
      <w:bookmarkEnd w:id="7"/>
      <w:r w:rsidRPr="009418D4">
        <w:rPr>
          <w:rFonts w:cs="Arial"/>
        </w:rPr>
        <w:tab/>
        <w:t xml:space="preserve">End date: </w:t>
      </w:r>
      <w:bookmarkStart w:id="8" w:name="AuditEndDate"/>
      <w:r w:rsidR="00A4268A">
        <w:rPr>
          <w:rFonts w:cs="Arial"/>
        </w:rPr>
        <w:t>26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Patricks Home and Hospital provides rest home and hospital level of care for up to 60 residents.  There were 50 residents on the day of audit.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manager is a registered nurse who has been in the role for three and a half years and works full time.  She is supported by a clinical manager with experience in aged care, who has been in the role for three years. </w:t>
      </w:r>
    </w:p>
    <w:p w:rsidRPr="00A4268A">
      <w:pPr>
        <w:spacing w:before="240" w:line="276" w:lineRule="auto"/>
        <w:rPr>
          <w:rFonts w:eastAsia="Calibri"/>
        </w:rPr>
      </w:pPr>
      <w:r w:rsidRPr="00A4268A">
        <w:rPr>
          <w:rFonts w:eastAsia="Calibri"/>
        </w:rPr>
        <w:t xml:space="preserve">The service has an established quality and risk management system.  Residents, families and the general practitioner interviewed commented positively on the standard of care and services provided at St Patricks Home and Hospital.  </w:t>
      </w:r>
    </w:p>
    <w:p w:rsidRPr="00A4268A">
      <w:pPr>
        <w:spacing w:before="240" w:line="276" w:lineRule="auto"/>
        <w:rPr>
          <w:rFonts w:eastAsia="Calibri"/>
        </w:rPr>
      </w:pPr>
      <w:r w:rsidRPr="00A4268A">
        <w:rPr>
          <w:rFonts w:eastAsia="Calibri"/>
        </w:rPr>
        <w:t xml:space="preserve">Eight of the ten shortfalls identified as part of the previous audit have been addressed.  These were around; admission agreements, RN oversight, kitchen services, progress notes, assessments, acute changes, care plan evaluations, and laundry services.   </w:t>
      </w:r>
    </w:p>
    <w:p w:rsidRPr="00A4268A">
      <w:pPr>
        <w:spacing w:before="240" w:line="276" w:lineRule="auto"/>
        <w:rPr>
          <w:rFonts w:eastAsia="Calibri"/>
        </w:rPr>
      </w:pPr>
      <w:r w:rsidRPr="00A4268A">
        <w:rPr>
          <w:rFonts w:eastAsia="Calibri"/>
        </w:rPr>
        <w:t>Further improvements required around care plan documentation and timeframes.  This audit also identified improvements required around the quality system.</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St Patricks Home and Hospital has a documented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that follows appropriate administration and storage practices.  Each resident is reviewed at least three-monthly by their general practitioner.  A range of individual and group activities is available and coordinated by the activities’ coordinator.  All meals are prepared on site.  There is a seasonal menu in place, which is reviewed by a dietitian.  Residents' food preferences are accommodated and the residents and relatives reported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External areas are safe and well maintained.  Cleaning and laundry services are well monitored through the internal auditing system.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restraint and one resident with an enabler.  Restraint management processes are adhered to.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families demonstrated their understanding of the complaints process.  All staff interviewed, including the manager, the clinical manager, four caregivers, one registered nurse (RN), two kitchen staff, the administrator and two activity staff, demonstrated an understanding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Five complaints have been lodged in 2019 and none for 2020 year to date.  Verbal and written complaints are documented.  All five complaints had a noted investigation, timelines determined by HDC were met, and corrective actions (where indicated) were actioned.  Four complaints were documented as resolved with one ongoing complaint.  The complaints included one though the DHB and one through the Ministry of Health, both of which have been closed.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residents (two hospital and two rest home) interviewed, with the assistance of an interpreter stated they were welcomed on entry and were given time and explanation about the services.  Accident/incidents, complaints procedures and the policy and process around open disclosure alert staff to their responsibility to notify family/next of kin of any accident/incident and ensure full and frank open disclosure occurs.  Ten incidents/accidents forms selected for review indicated that family were informed.  Five families (three hospital and two rest home) interviewed with the assistance of an interpreter when needed, confirmed they are notified of any changes in their family member’s health status.  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variety of information and communication strategies with families and residents such a newsletters and signage all of which are in English and Mandarin.  The admission agreements also have a Mandarin version.  Five admission agreements reviewed had all been signed.  This is an improvement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Patricks Home and Hospital is owned and operated by group which include the owner / manager, the clinical manager and a director.  The service provides care for up to 60 residents (including eight dual-purpose beds).  On the day of audit, there were 13 rest home residents and 37 hospital care residents.  All residents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business plan, which is reviewed annually.  The business plan identifies the purpose, values and scope of the business.  The service has quality goals, which have been reviewed regularly through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 owner / manager has experience in health management and has been in the role for three and a half years.  The manager is supported by an experienced clinical manager (registered nurse and co-owner), with a background in aged care.  A third owner, (the director) maintains close links with the service and is in communication or visits daily.</w:t>
            </w:r>
          </w:p>
          <w:p w:rsidR="00EB7645" w:rsidRPr="00BE00C7" w:rsidP="00BE00C7">
            <w:pPr>
              <w:pStyle w:val="OutcomeDescription"/>
              <w:spacing w:before="120" w:after="120"/>
              <w:rPr>
                <w:rFonts w:cs="Arial"/>
                <w:b w:val="0"/>
                <w:lang w:eastAsia="en-NZ"/>
              </w:rPr>
            </w:pPr>
            <w:r w:rsidRPr="00BE00C7">
              <w:rPr>
                <w:rFonts w:cs="Arial"/>
                <w:b w:val="0"/>
                <w:lang w:eastAsia="en-NZ"/>
              </w:rPr>
              <w:t>The owner / manager  and clinical manager have  has completed at least eight hours of professional development.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developed by an external consultant is in place.  Interviews with the managers and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 series of meetings including monthly staff meetings, three monthly infection control meetings and two monthly clinically focussed meetings.  Staff communication is also maintained through closed chat groups to staff.  The chat groups include; all staff, care team, RNs and family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such as; falls, incidents and accidents, wounds, skin tears, pressure injuries and complaints are collated and analysed, but results are not consistently documented as communicated to staff.  Action plans are implemented where trends or spike indicate that an issue is occurring.  An internal audit programme is in place, corrective action plans were documented for areas of noncompliance, but not always reported to staff.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 meetings are held.  The meetings are in Mandarin and in English and there are two sets of meeting minutes (one English and one Mandarin).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team that meet quarterly.  Staff undergo annual health and safety training which begins during their orientation.  Contractors are required to be inducted into the facility and sign a health and safety information sheet when this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This includes (but is not limited to) ensuring call bells are placed within reach, the use of sensor mats, encouraging participation in activities, and physiotherapy.  Caregiver interviews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and/or registered nursing staff, evidenced in all ten accident/incident forms reviewed.  Adverse events are trended and analysed with results communicated to staff.  There is evidence to support actions are undertaken to minimise the number of incidents.  Clinical follow-up of residents is conducted by a registered nurse.  Unwitnessed falls include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care home manager confirmed her awareness of the requirement to notify relevant authorities in relation to essential notifications.  One section 31 has been reported for a stage three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(two RNs, two healthcare assistants, and the clinical manager).  Staff files included an application form and reference checks, a signed contract, a job description relevant to the role the staff member is in and completed induction checklists.  All files reviewed included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planner in place that covers compulsory education requirements.  The planner and individual attendance records are updated after each session.  There was evidence of training following complaints and audits, including palliative care updates.</w:t>
            </w:r>
          </w:p>
          <w:p w:rsidR="00EB7645" w:rsidRPr="00BE00C7" w:rsidP="00BE00C7">
            <w:pPr>
              <w:pStyle w:val="OutcomeDescription"/>
              <w:spacing w:before="120" w:after="120"/>
              <w:rPr>
                <w:rFonts w:cs="Arial"/>
                <w:b w:val="0"/>
                <w:lang w:eastAsia="en-NZ"/>
              </w:rPr>
            </w:pPr>
            <w:r w:rsidRPr="00BE00C7">
              <w:rPr>
                <w:rFonts w:cs="Arial"/>
                <w:b w:val="0"/>
                <w:lang w:eastAsia="en-NZ"/>
              </w:rPr>
              <w:t>There are eight registered nurses including the manager and clinical manager; three have completed interRAI training.  Clinical staff complete competencies relevant to their role.  The RNs and clinical manager have access to external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A staff rationale and skill mix policy is in place.  Sufficient staff are rostered on to manage the care requirements of the residents.  The manager and clinical manager are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covers two floors as it is built on the side of a hill.  The care floor is accessed from the front of the building (the main care floor).  There are 41 residents are on the main care floor. </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hospital level residents and six rest home the lower floor.  The lower floor rooms all open to the garden.  There is a lift and stairs between floors and covered walkways to all rooms.</w:t>
            </w:r>
          </w:p>
          <w:p w:rsidR="00EB7645" w:rsidRPr="00BE00C7" w:rsidP="00BE00C7">
            <w:pPr>
              <w:pStyle w:val="OutcomeDescription"/>
              <w:spacing w:before="120" w:after="120"/>
              <w:rPr>
                <w:rFonts w:cs="Arial"/>
                <w:b w:val="0"/>
                <w:lang w:eastAsia="en-NZ"/>
              </w:rPr>
            </w:pPr>
            <w:r w:rsidRPr="00BE00C7">
              <w:rPr>
                <w:rFonts w:cs="Arial"/>
                <w:b w:val="0"/>
                <w:lang w:eastAsia="en-NZ"/>
              </w:rPr>
              <w:t>For all residents (13 rest home and 37 hospital) over two floors the staffing included;</w:t>
            </w:r>
          </w:p>
          <w:p w:rsidR="00EB7645" w:rsidRPr="00BE00C7" w:rsidP="00BE00C7">
            <w:pPr>
              <w:pStyle w:val="OutcomeDescription"/>
              <w:spacing w:before="120" w:after="120"/>
              <w:rPr>
                <w:rFonts w:cs="Arial"/>
                <w:b w:val="0"/>
                <w:lang w:eastAsia="en-NZ"/>
              </w:rPr>
            </w:pPr>
            <w:r w:rsidRPr="00BE00C7">
              <w:rPr>
                <w:rFonts w:cs="Arial"/>
                <w:b w:val="0"/>
                <w:lang w:eastAsia="en-NZ"/>
              </w:rPr>
              <w:t>One RN each shift, three full shift healthcare assistants on the AM shift, four on the PM shift and three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are allocated to the upstairs and downstairs residents and RNs maintain oversight.   At night, one healthcare assistant undertakes the laundry.  This is on the same level as the lower floor.   </w:t>
            </w:r>
          </w:p>
          <w:p w:rsidR="00EB7645" w:rsidRPr="00BE00C7" w:rsidP="00BE00C7">
            <w:pPr>
              <w:pStyle w:val="OutcomeDescription"/>
              <w:spacing w:before="120" w:after="120"/>
              <w:rPr>
                <w:rFonts w:cs="Arial"/>
                <w:b w:val="0"/>
                <w:lang w:eastAsia="en-NZ"/>
              </w:rPr>
            </w:pPr>
            <w:r w:rsidRPr="00BE00C7">
              <w:rPr>
                <w:rFonts w:cs="Arial"/>
                <w:b w:val="0"/>
                <w:lang w:eastAsia="en-NZ"/>
              </w:rPr>
              <w:t>The service maintains oversight of the newer registered nurses.  The clinical manager and an RN were able to discuss how the service supported newer registered nurses into their role.  This included an orientation programme, ongoing training and ensuring that all new registered nurses (including new graduates) work on day shift until the clinical manager and new nurse are fully orientated into the role.  The RN interviewed stated that the senior staff are always available for advice and on call.</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stated that the clinical care was very good and praised the high level of clinical competence.  One hospital level resident on the lower floor stated that they feel supported by the staff and has chosen the room where they are very happy.</w:t>
            </w:r>
          </w:p>
          <w:p w:rsidR="00EB7645" w:rsidRPr="00BE00C7" w:rsidP="00BE00C7">
            <w:pPr>
              <w:pStyle w:val="OutcomeDescription"/>
              <w:spacing w:before="120" w:after="120"/>
              <w:rPr>
                <w:rFonts w:cs="Arial"/>
                <w:b w:val="0"/>
                <w:lang w:eastAsia="en-NZ"/>
              </w:rPr>
            </w:pPr>
            <w:r w:rsidRPr="00BE00C7">
              <w:rPr>
                <w:rFonts w:cs="Arial"/>
                <w:b w:val="0"/>
                <w:lang w:eastAsia="en-NZ"/>
              </w:rPr>
              <w:t>The previous shortfall around RN and healthcare oversight of the residents on the lower floor and new graduate support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all aspects of medication management, including self-administration.  The service utilises roll packs.  The service uses an electronic medication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were securely and appropriately stored.  Registered nurses or senior HCAs, who have passed their competency, administer medications.  Medication competencies are updated annually.  Medication charts have photo IDs.  There is a signed agreement with the pharmacy.  Medications are checked on arrival and any pharmacy errors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and signing charts were reviewed.  All medication signing sheets aligned with the medication charts. </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profiles reviewed were legible, up-to-date and reviewed at least three-monthly by the GP.  All medication charts reviewed have ‘as needed’ medications prescribed with an individualised indication for use.  The medication round observed was completed correctly.  The medication fridge has temperatures recorded daily and these are within acceptable ranges and room temperature recording has commenced (within range on day of audit).  Medication management audits are completed as part of the internal audit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equipped commercial kitchen, which is located centrally in the facility.  The majority of food is prepared and cooked on site.  All kitchen staff have completed food safety training.  The menu has been approved by a dietitian and includes a choice of European and Chinese style meals for each meal.  A food services manual is available to ensure that all stages of food delivery to residents comply with standards, legislation and guidelines.  All fridges and freezer temperatures are recorded daily on the recording sheet sighted.  Food temperatures are recorded daily.  All food is served directly from the kitchen to residents in the dining room or to their rooms as required.  All food in the freezer and fridge was labelled and dated.  The food control plan has been approved until December 2020.  All residents have a nutritional profile developed on admission, which identifies their dietary requirements, likes and dislikes.  This profile is reviewed six monthly as part of their care plan review.  Changes to residents’ dietary needs are communicated to the kitchen staff.  Special diets can be catered for.  Alternative meals can be accommodated if needed.  Residents’ weights are recorded routinely each month or more frequently if required.  Residents and relatives interviewed reported satisfaction with food choices and meals, which were well presented.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across the rest home and hospital identified that risk assessments have been fully completed on admission and reviewed six-monthly as part of the evaluation (link 1.3.3.3).  InterRAI assessments reflected resident need.  Additional assessments for management of behaviour, pain, wound care and enablers were appropriately completed according to need.  For the resident files reviewed, formal assessments and risk assessments were in place and reflected into care plans.  InterRAI assessments, fully completing initial assessments, and evaluation of care plans towards stated goals are an improvement from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demonstrated service integration and input from allied health.  All care plans (including short and long-term care plans) reviewed, included interventions to address all of the resident needs.  Care plans reflected the interRAI and service specific assessments.  Care plans were documented well for a resident with dialysis, a diabetic, wound care and weight loss.  Care plans linking to interRAI and service assessments are an improvement from the previous audit.  Two care plans did not include specific care needs, including one for behaviours that challenge and one for a supra pubic catheter, specific interventions are a continued shortfall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one GP evidenced that care provided is of a high standard and GPs are kept informed.  Family members interviewed stated care and support is good and that they are involved in the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and RNs interviewed stated there is adequate equipment provided, including continence and wound care supplies.  Wound assessment, wound management and evaluation forms are in place.  There were three wounds being managed (one healed PI, one donor site and one grazes).   Wound management and monitoring occurred as planned.  All have appropriate wound care management plans documented and provided, including pressure relieving equipment.  Access to specialist advice and support is available as needed.  Care plans document allied health input.  A sample of wounds reviewed in detail included a link to STCPs and LTCPs.  There is wound care specialist input where needed.  Physiotherapy and dietitian input are provided for residents.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well utilised and examples sighted included (but not limited to) weight and vital signs, blood glucose, pain, food and fluid, turning charts, and enabler monitoring.</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use for changes in health status and signed off as resolved or transferred to the long-term care plan, this is an improvement from the previous audit.  There was evidence of service integration with documented input from a range of specialist care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activity coordinator who is currently completing a qualification in diversional therapy.  She is supported by a diversional therapist from a sister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programme, which is reviewed when their plan of care is reviewed and as part of their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Group activities are provided five days a week and published both in English and Mandarin.  The group programme covers physical, cognitive, social and spiritual needs.  There are regular visiting entertainers and community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arranges activities in two separate lounges; one is mainly for mandarin speakers and Chinese activities and one (the main lounge) is usually English.  All residents can attend any lounge.  There are regular van trips for shopping and outings.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allow feedback and activities are adapted according to feedback.  Families and residents were very complimentary regarding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registered nurses six-monthly, or when changes to care occurred and document progress of achievement towards the desired goal or outcome, this is an improvement from the previous audit.  Activity plan evaluations were completed six monthly.  There is at least a three-monthly review by the medical practitioner.  The family members interviewed confirmed they are invited to attend the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20 October 2020.  The facility has a lift between the ground floor and first floor level.  There are hospital and rest home rooms located on the ground floor.  The lift is large enough to allow residents to be transported by wheelchair or ambulance trolley.  There are proactive and reactive maintenance management plans in place.  The grounds and gardens are well maintained.  Contracted providers test equipment.  There are hazard management systems in place to ensure the physical environment minimises risk of harm, promotes safe mobility, aids independence and is appropriate to the needs of the residents and any visitors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cleaners have access to the appropriate equipment and chemicals.  Cleaning equipment and cleaning chemicals are stored securely when not in use.  All laundry is completed on site.  There are two entry/exit doors (clean and dirty) with designated clean/dirty areas.  This is an improvement from the previous audit.  The internal auditing system and the satisfaction surveys monitor cleaning and laundry services.  Cleaning and laundry staff receive training at orientation and through the in-service programme.  There are policies in place to guide practice.  Residents and family members interviewed expressed satisfaction with the laundry and cleaning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(clinical manager) uses the information obtained through surveillance to determine infection control activities, resources and education needs within the facility.</w:t>
              <w:br/>
              <w:t>A monthly log of infections and short-term care plans are completed for all resident infections.  Infection control data is collated monthly and reported at the three-monthly infection control meetings and monthly staff meetings.  The surveillance of infection data assists in evaluating compliance with infection control practices, identifying trends and corrective actions/quality initiatives.  Infection control data is on display for staff.  The infection control programme is linked with the quality management programme.  Benchmarking occurs through an external consultant.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control audits also assist the service in evaluating infection control needs.  There is close liaison with the GPs that advise and provide feedback/information to the service.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no residents with restraints and one resident using an enabler.  The resident with and enabler file was reviewed.  There was an assessment and consent for bed rails signed by the resident.  The care plan included the enabler and monitoring was documented as charted.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69"/>
        <w:gridCol w:w="1280"/>
        <w:gridCol w:w="5595"/>
        <w:gridCol w:w="2557"/>
        <w:gridCol w:w="1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quality and risk programme has been implemented.  The service collates information and data and makes service charges as a result of the collated data.  The data and resulting changes are not documented as reported to staff.  Staff interviewed stated that they are very well informed.  Survey results have not all been communicated.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Meeting minutes do not reflect that all quality information is communicated to staff including; incidents and accidents, complaints, and internal audit results.  </w:t>
            </w:r>
          </w:p>
          <w:p w:rsidR="00EB7645" w:rsidRPr="00BE00C7" w:rsidP="00BE00C7">
            <w:pPr>
              <w:pStyle w:val="OutcomeDescription"/>
              <w:spacing w:before="120" w:after="120"/>
              <w:rPr>
                <w:rFonts w:cs="Arial"/>
                <w:b w:val="0"/>
                <w:lang w:eastAsia="en-NZ"/>
              </w:rPr>
            </w:pPr>
            <w:r w:rsidRPr="00BE00C7">
              <w:rPr>
                <w:rFonts w:cs="Arial"/>
                <w:b w:val="0"/>
                <w:lang w:eastAsia="en-NZ"/>
              </w:rPr>
              <w:t>(ii).  The annual family/ resident survey results have not been documented as communicated to family and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quality information is documented as communicated to staff residents.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family/resident survey results are communicated to family and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an initial assessment on admission to services.  A long-term care plan was documented within 21 days for all new residents.  The initial interRAI was not always within timeframes for two of two new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rest home and one hospital level resident’s initial interRAI were not within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timeframes for interRAI initial assessments are within 21 days.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reflect assessments and are overall resident and goal focused.  However, not all resident needs have been fully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hospital resident with a supra pubic catheter did not have care needs fully addressed in the care pa.</w:t>
            </w:r>
          </w:p>
          <w:p w:rsidR="00EB7645" w:rsidRPr="00BE00C7" w:rsidP="00BE00C7">
            <w:pPr>
              <w:pStyle w:val="OutcomeDescription"/>
              <w:spacing w:before="120" w:after="120"/>
              <w:rPr>
                <w:rFonts w:cs="Arial"/>
                <w:b w:val="0"/>
                <w:lang w:eastAsia="en-NZ"/>
              </w:rPr>
            </w:pPr>
            <w:r w:rsidRPr="00BE00C7">
              <w:rPr>
                <w:rFonts w:cs="Arial"/>
                <w:b w:val="0"/>
                <w:lang w:eastAsia="en-NZ"/>
              </w:rPr>
              <w:t>One rest home resident with behaviours that challenge had this issue documented in the care plan but no interventions to manage.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care needs are fully documented in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Patricks Limited - St Patricks Home and Hospital</w:t>
    </w:r>
    <w:bookmarkEnd w:id="58"/>
    <w:r>
      <w:rPr>
        <w:rFonts w:cs="Arial"/>
        <w:sz w:val="16"/>
        <w:szCs w:val="20"/>
      </w:rPr>
      <w:tab/>
      <w:t xml:space="preserve">Date of Audit: </w:t>
    </w:r>
    <w:bookmarkStart w:id="59" w:name="AuditStartDate1"/>
    <w:r>
      <w:rPr>
        <w:rFonts w:cs="Arial"/>
        <w:sz w:val="16"/>
        <w:szCs w:val="20"/>
      </w:rPr>
      <w:t>25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