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The Oaks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Oaks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March 2020</w:t>
      </w:r>
      <w:bookmarkEnd w:id="7"/>
      <w:r w:rsidRPr="009418D4">
        <w:rPr>
          <w:rFonts w:cs="Arial"/>
        </w:rPr>
        <w:tab/>
        <w:t xml:space="preserve">End date: </w:t>
      </w:r>
      <w:bookmarkStart w:id="8" w:name="AuditEndDate"/>
      <w:r w:rsidR="00A4268A">
        <w:rPr>
          <w:rFonts w:cs="Arial"/>
        </w:rPr>
        <w:t>11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Oaks Rest home and Village provides rest home and hospital level care for up to 105 residents. There were 95 residents at the facility on the first day of the audit.</w:t>
      </w:r>
    </w:p>
    <w:p w:rsidRPr="00A4268A">
      <w:pPr>
        <w:spacing w:before="240" w:line="276" w:lineRule="auto"/>
        <w:rPr>
          <w:rFonts w:eastAsia="Calibri"/>
        </w:rPr>
      </w:pPr>
      <w:r w:rsidRPr="00A4268A">
        <w:rPr>
          <w:rFonts w:eastAsia="Calibri"/>
        </w:rPr>
        <w:t>This unannounced surveillance audit was conducted against the relevant Health and Disability Services Standards and the service’s contract with the district health board. The audit process included review of policies and procedures, review of resident and staff files, observations and interviews with residents, family members, management, staff and general practitioners.</w:t>
      </w:r>
    </w:p>
    <w:p w:rsidRPr="00A4268A">
      <w:pPr>
        <w:spacing w:before="240" w:line="276" w:lineRule="auto"/>
        <w:rPr>
          <w:rFonts w:eastAsia="Calibri"/>
        </w:rPr>
      </w:pPr>
      <w:r w:rsidRPr="00A4268A">
        <w:rPr>
          <w:rFonts w:eastAsia="Calibri"/>
        </w:rPr>
        <w:t>There were eight areas requiring improvement from the previous audit. Seven previous requirements for improvement have been closed out relating to complaints management; collection of quality improvement data; staff orientation; ongoing staff education and performance reviews; emergency management; timeframes of service delivery and restraint minimisation. There previous requirement for improvement relating to corrective action plans remains open.</w:t>
      </w:r>
    </w:p>
    <w:p w:rsidRPr="00A4268A">
      <w:pPr>
        <w:spacing w:before="240" w:line="276" w:lineRule="auto"/>
        <w:rPr>
          <w:rFonts w:eastAsia="Calibri"/>
        </w:rPr>
      </w:pPr>
      <w:r w:rsidRPr="00A4268A">
        <w:rPr>
          <w:rFonts w:eastAsia="Calibri"/>
        </w:rPr>
        <w:t>A new area identified as requiring improvement at this surveillance audit relates to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accessible to residents and families. This information is brought to the attention of residents and their families on admission to the facility. Residents and family members confirmed their rights are being met, staff are respectful of their needs and communication is appropriate.  </w:t>
      </w:r>
    </w:p>
    <w:p w:rsidRPr="00A4268A">
      <w:pPr>
        <w:spacing w:before="240" w:line="276" w:lineRule="auto"/>
        <w:rPr>
          <w:rFonts w:eastAsia="Calibri"/>
        </w:rPr>
      </w:pPr>
      <w:r w:rsidRPr="00A4268A">
        <w:rPr>
          <w:rFonts w:eastAsia="Calibri"/>
        </w:rPr>
        <w:t>Open communication between staff, residents and families is promoted and documented.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There is a documented and implemented complaints management system. The business and care manager is responsible for managing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The facility is managed by an appropriately qualified and experienced business and care manager who is supported by a clinical manager. The clinical manager is responsible for the oversight of clinical service and facility’s quality management programme. The facility management team is supported by the regional clinical quality manager and the regional operations manager.</w:t>
      </w:r>
    </w:p>
    <w:p w:rsidRPr="00A4268A">
      <w:pPr>
        <w:spacing w:before="240" w:line="276" w:lineRule="auto"/>
        <w:rPr>
          <w:rFonts w:eastAsia="Calibri"/>
        </w:rPr>
      </w:pPr>
      <w:r w:rsidRPr="00A4268A">
        <w:rPr>
          <w:rFonts w:eastAsia="Calibri"/>
        </w:rPr>
        <w:t>The facility implements the Oceania Healthcare Limited quality and risk management system that includes collection and analysis of quality improvement data to identify trends and lead to improvements. Quality and risk performance is monitored through the organisation’s reporting systems. An internal audit programme is implemented.</w:t>
      </w:r>
    </w:p>
    <w:p w:rsidRPr="00A4268A">
      <w:pPr>
        <w:spacing w:before="240" w:line="276" w:lineRule="auto"/>
        <w:rPr>
          <w:rFonts w:eastAsia="Calibri"/>
        </w:rPr>
      </w:pPr>
      <w:r w:rsidRPr="00A4268A">
        <w:rPr>
          <w:rFonts w:eastAsia="Calibri"/>
        </w:rPr>
        <w:t>Policies and procedures that support service delivery are current and align with good practice, legislation and guidelines. Monthly reports to the national support office allow for the monitoring of service delivery. Oceania Healthcare Limited human resource policies and procedures are documented and implements by The Oaks. Newly recruited staff undertake orientation appropriate to their role. Practising certificates for staff and contractors who require them, are validated annually.</w:t>
      </w:r>
    </w:p>
    <w:p w:rsidRPr="00A4268A">
      <w:pPr>
        <w:spacing w:before="240" w:line="276" w:lineRule="auto"/>
        <w:rPr>
          <w:rFonts w:eastAsia="Calibri"/>
        </w:rPr>
      </w:pPr>
      <w:r w:rsidRPr="00A4268A">
        <w:rPr>
          <w:rFonts w:eastAsia="Calibri"/>
        </w:rPr>
        <w:t>Staffing levels within the facility are sufficient to meet the residents’ acuity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which are timely, coordinated and customised to their assessed needs.</w:t>
      </w:r>
    </w:p>
    <w:p w:rsidRPr="00A4268A" w:rsidP="00621629">
      <w:pPr>
        <w:spacing w:before="240" w:line="276" w:lineRule="auto"/>
        <w:rPr>
          <w:rFonts w:eastAsia="Calibri"/>
        </w:rPr>
      </w:pPr>
      <w:r w:rsidRPr="00A4268A">
        <w:rPr>
          <w:rFonts w:eastAsia="Calibri"/>
        </w:rPr>
        <w:t>Care is provided to residents using a team approach that includes but is not limited to: registered nurses; general practitioners; health care assistants; a diversional therapist; and a physiotherapist. Residents’ clinical records are held and updated within electronic software. Assessments including interRAI inform care plans. Interventions were documented in the care plans to assist residents to meet their goals. Care plan evaluations and interRAI reassessments were completed within the requirement timeframes.</w:t>
      </w:r>
    </w:p>
    <w:p w:rsidRPr="00A4268A" w:rsidP="00621629">
      <w:pPr>
        <w:spacing w:before="240" w:line="276" w:lineRule="auto"/>
        <w:rPr>
          <w:rFonts w:eastAsia="Calibri"/>
        </w:rPr>
      </w:pPr>
      <w:r w:rsidRPr="00A4268A">
        <w:rPr>
          <w:rFonts w:eastAsia="Calibri"/>
        </w:rPr>
        <w:t xml:space="preserve">There is a varied activities programme designed to meet residents’ interests. </w:t>
      </w:r>
    </w:p>
    <w:p w:rsidRPr="00A4268A" w:rsidP="00621629">
      <w:pPr>
        <w:spacing w:before="240" w:line="276" w:lineRule="auto"/>
        <w:rPr>
          <w:rFonts w:eastAsia="Calibri"/>
        </w:rPr>
      </w:pPr>
      <w:r w:rsidRPr="00A4268A">
        <w:rPr>
          <w:rFonts w:eastAsia="Calibri"/>
        </w:rPr>
        <w:t xml:space="preserve">Medication management is guided by a policy that reflects legislation and best practice guidelines. Staff administering medication have current competencies. </w:t>
      </w:r>
    </w:p>
    <w:p w:rsidRPr="00A4268A" w:rsidP="00621629">
      <w:pPr>
        <w:spacing w:before="240" w:line="276" w:lineRule="auto"/>
        <w:rPr>
          <w:rFonts w:eastAsia="Calibri"/>
        </w:rPr>
      </w:pPr>
      <w:r w:rsidRPr="00A4268A">
        <w:rPr>
          <w:rFonts w:eastAsia="Calibri"/>
        </w:rPr>
        <w:t xml:space="preserve">Meals are prepared on site in a kitchen with a current food control plan. The menu is planned by a registered dietitian and individual residents’ needs and likes and dislikes are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There had not been any alterations to the building since the last audit. </w:t>
      </w:r>
    </w:p>
    <w:p w:rsidRPr="00A4268A">
      <w:pPr>
        <w:spacing w:before="240" w:line="276" w:lineRule="auto"/>
        <w:rPr>
          <w:rFonts w:eastAsia="Calibri"/>
        </w:rPr>
      </w:pPr>
      <w:r w:rsidRPr="00A4268A">
        <w:rPr>
          <w:rFonts w:eastAsia="Calibri"/>
        </w:rPr>
        <w:t>Essential emergency systems are in place and ready to be activated when required. Staff complete emergency training.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an restraint and enabler policy which meets the restraint minimisation and safe practice standards and includes monitoring through an enabler register. There were three enablers in use during the audit and no restraints were being used. Staff receive education relating to the use of and management of restraints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an infection prevention and control policy in place to guide practice. The policy includes strategies to minimise the outbreak of an infection. Results of surveillance are acted upon, evaluated and reported to the organisation’s governing body.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is responsible for complaints management. The complaints policy and associated forms comply with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receive information on the complaint process on admission. The complaints forms are displayed at reception and accessible within the facility. Staff explained the right for residents to make a complaint and the complaint process.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written and verbal complaints recorded over the past year, including dates and responses. Documentation of actions taken included agreed resolutions, required follow up and corrective actions (refer to 1.2.3.8). Family and residents interviewed were aware of the complaints process and how to make a complaint. The previous requirement for improvement for the complaints processes to adhere to the Right 10 of the Code is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anonymous complaint that had been investigated by the DHB and review of the records evidenced the facility provided information and the complaint is now closed. There were no other complaints with external agencies.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informed about any changes to their relative’s status; were advised in a timely manner about any accidents/incidents, and about the outcomes of regular or urgent medical reviews. Communication to families was documented in the residents’ records reviewed. Staff understood the principles of open disclosure, which is supported by policies and procedures that meet the requirements the Health and Disability Commissioner’s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members reported that they are informed of residents’ meetings which are held monthly and that they attend as able. Review of meeting minutes evidenced information is shared such as survey results and that there is an opportunity to provide feedback on services. Family and staff interviews identified there is a family newsletter emailed to all family members to keep them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they know the process to access interpreter services when required. Interpreter services can be accessed via the district health board (DHB) or Interpreting New Zealand. There was one resident who do not speak English at the time of audit. Staff interviewed identified they utilise communication cards and are able to identify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Rest Home and Village (The Oaks) is part of the Oceania Healthcare Limited (Oceania). The Oceania executive team provides support to the facility with the regional clinical and quality manager providing the support during this on-site audit. The BCM provides the executive management team with monthly progress against identified indicators. Oceania has an overarching business plan and The Oaks has a business plan specific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Posters observed at the entrance of the facility and information booklets available for residents, staff and family include the organisation’s mission statement, values and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BCM who has been in this role for two years. The BCM is a registered nurse (RN) and has had previous management experience of residential care facilities. Responsibilities and accountabilities are defined in a job description and individual employment agreement.  </w:t>
            </w:r>
          </w:p>
          <w:p w:rsidR="00EB7645" w:rsidRPr="00BE00C7" w:rsidP="00BE00C7">
            <w:pPr>
              <w:pStyle w:val="OutcomeDescription"/>
              <w:spacing w:before="120" w:after="120"/>
              <w:rPr>
                <w:rFonts w:cs="Arial"/>
                <w:b w:val="0"/>
                <w:lang w:eastAsia="en-NZ"/>
              </w:rPr>
            </w:pPr>
            <w:r w:rsidRPr="00BE00C7">
              <w:rPr>
                <w:rFonts w:cs="Arial"/>
                <w:b w:val="0"/>
                <w:lang w:eastAsia="en-NZ"/>
              </w:rPr>
              <w:t>The BCM is supported by a clinical nurse manager (CNM) who has been in the role since February 2019. The CNM is a RN with experience in aged residential care. Both the BCM and the CNM have undertaken Oceania training and education relevant to their positions.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105 residents, with 95 beds occupied at the audit. This included 58 residents requiring rest home level care, 37 requiring hospital level care. Included in the occupancy numbers were: two residents under 65 years of age were receiving hospital care under a long-term chronic condition contract, one resident was under a palliative contract in rest home care, and one resident under accident corporation contract (ACC) for extended respite care at rest home level. Not included in total occupancy numbers were two self-funding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includes hospital and rest home service with occupational rights agreements (ORA). Included in total occupancy numbers were 27 ORAs at rest home level care. The services for residents with ORA are the same as services for rest home and hospital services for residents under the age-related residential care contract and other contracts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Oaks uses the Oceania quality and risk management system that reflects the principles of continuous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The Oceania management group reviews all policies with input from internal experts. Policies reviewed cover the necessary aspects of the service and contractual requirements, including reference to the InterRAI long-term care facility (LTCF) assessment tool and process. Policies include references to current best practice and legislated requirements. New and revised policies are introduced to staff at staff meetings and policy updates are also presented as part of relevant in-service education. Staff interviewed confirmed that they are alerted of new and revised policies and receive opportunities to read and understand these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 control system ensures a systematic and regular review process, including the approval, distribution and removal of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 and accidents, key performance indicators, and implementation of an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documented and implemented as scheduled. Internal audits cover all aspects of the service and are completed by the BCM or CNM. Audit data is collected, collated and analysed at the facility. Results are reported on electronic system which can be viewed by Oceania national support office. Interviewed staff reported that they are kept informed of audit activities and results at staff meetings. Satisfaction surveys for residents and families are completed as part of the internal audit programme on a six-monthly basis. Interviews with staff, residents and family confirmed a satisfaction survey was taking place at the time of audit. Survey forms were observed to be available within the facility. The September 2019 survey had been collated and analysed and communicated to staff, family and residents as evidenced in meeting minutes and interviews. The previous requirement for improvement relating to internal audits being completed according to the schedule by an appropriate staff member and collation and communication of survey data has been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including for example, general staff and quality initiative meetings, RN meetings, household staff meetings and kitchen staff meetings. Minutes of meetings evidenced communication with staff around aspects of quality improvement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Clinical indicators are collated monthly and benchmarked against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reviewed during on-site audit evidenced timeframes were not consistently adhered to or the effectiveness of the plan evaluated. The previous requirement for improvement from previous audit relating to corrective action planning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has a risk management programme in place. Health and safety policies and procedures are documented along with a hazard management programme. There was evidence of hazard identification forms completed when a hazard was identified. The BCM is responsible for maintaining the hazard register and is the health and safety officer. A hazard register is available which details how the hazards are addressed and the risks minimised. The hazard register is current as sighted during on-site audit. Staff interviewed confirmed awareness of the process to report hazards.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adverse event reporting process in relation to their professional practice and regulatory requirements. They were also able to describe the importance of reporting near misses.</w:t>
            </w:r>
          </w:p>
          <w:p w:rsidR="00EB7645" w:rsidRPr="00BE00C7" w:rsidP="00BE00C7">
            <w:pPr>
              <w:pStyle w:val="OutcomeDescription"/>
              <w:spacing w:before="120" w:after="120"/>
              <w:rPr>
                <w:rFonts w:cs="Arial"/>
                <w:b w:val="0"/>
                <w:lang w:eastAsia="en-NZ"/>
              </w:rPr>
            </w:pPr>
            <w:r w:rsidRPr="00BE00C7">
              <w:rPr>
                <w:rFonts w:cs="Arial"/>
                <w:b w:val="0"/>
                <w:lang w:eastAsia="en-NZ"/>
              </w:rPr>
              <w:t>The BCM demonstrated in interviews they were aware of situations in which the service would need to report and notify statutory authorities including police attending the facility; unexpected deaths; sentinel events; notification of a pressure injury; infectious disease outbreaks; and changes in key managers. Authorities have been notified of the new CNM appointment.</w:t>
            </w:r>
          </w:p>
          <w:p w:rsidR="00EB7645" w:rsidRPr="00BE00C7" w:rsidP="00BE00C7">
            <w:pPr>
              <w:pStyle w:val="OutcomeDescription"/>
              <w:spacing w:before="120" w:after="120"/>
              <w:rPr>
                <w:rFonts w:cs="Arial"/>
                <w:b w:val="0"/>
                <w:lang w:eastAsia="en-NZ"/>
              </w:rPr>
            </w:pPr>
            <w:r w:rsidRPr="00BE00C7">
              <w:rPr>
                <w:rFonts w:cs="Arial"/>
                <w:b w:val="0"/>
                <w:lang w:eastAsia="en-NZ"/>
              </w:rPr>
              <w:t>Staff who witness an event or are first to respond to an event document adverse, unplanned or untoward incidents in the reviewed accident/incident forms. Accident/incident forms evidenced family were contacted following any adverse event. The RN documents assessments of residents following an accident/incident. This includes neurological observations and falls risk assessments as appropriate. Managers sign off the accident/incident forms (refer to 1.2.3.8).</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for example health and safety, human resources and infection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A sample of staff records reviewed confirmed the organisation’s policies are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There are systems in place to ensure that annual practising certificates and practitioners’ certificates are current. Current certificates were evidenced in reviewed records for all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documentation sighted include necessary components to the role. Health care assistants (HCA) interviewed identified they are paired with a senior HCA until they demonstrate competency on specific tasks such as hand hygiene or moving and handling. Staff interviewed reported that the orientation process prepared them well for their role. Staff records reviewed show consistent documentation of completed staff orientation. The previous area requiring improvement related to documented evidence that staff complete orientation is now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annual education and training module/schedule. The mandatory study days of continuing education include infection control, restraint/enabler use, moving and handling. There are systems and processes in place, including texting staff to remind them of the required mandatory modules and competencies training dates. Interviews confirmed that all staff, including RNs, undertake at least eight hours of relevant education per year and that an appraisal schedule is in place. Staff education records evidenced the ongoing training and education completed. Fifteen RNs including the CNM were identified as interRAI competent. Staff files reviewed also show consistent documentation of annual performance reviews. The previous requirement for improvement to ensure all staff complete annual education and performance reviews is now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and implemented process for determining staffing levels and skill mixes which support safe service delivery, 24 hours a day, 7 days a week. The facility adjusts staffing levels to meet the changing needs of residents by using the flexible roster. Rosters include a flexi-shift which is an HCA or RN who can work in any service area as dictated by service requirements. Health care assistants interviewed reported there were adequate staff available to complete the workload and specific tasks allocated to them. Residents and families interviewed supported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 four-week roster cycle confirmed staff cover is provided in line with the DHB contract, with staff replaced in any unplanned absence. At least one staff member on duty has a current first aid certificate. There is RN coverage 24 hours, 7 days a week. The BCM and CNM work Monday to Friday and are on call after hours and weekends,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 ORA units are located within the facility in close proximity to the RN office. The residents who receive rest home care and hospital level care in ORA units were observed to have their needs met within the environment in which they live with: 24 hour care, adequate HCA and RN cover, and provision of services in accordance with the agreed related residential care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medication policy which reflects best practice guidelines. Medication is provided by a local pharmacy in response to the receipt of a prescription. A RN checks all medication on arrival against the prescription. Residents’ regular medication is received in pre-packaged sachets.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medication management system was observed to be in use, with prescribing, administration and review occurring within appropriate timeframes, including as required medications. Medication charts sighted had a photograph that was a true representation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Medication fridges were sighted and temperature recordings were documented as per policy. Oral, intramuscular and intravenous medication is stored in compliance with policy and legislation. The drug register evidenced weekly and six monthly checks as well as pharmacy involvement. However, it was observed that not all eye drops and/or ointments stored in the ward medication trolley had opening dates documented, and not all dressing solutions and lotions stored on the dressing trolley had opening dates documented.</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attend annual medication training updates and are competent to administer medication. Health care assistants administer medication when competent to do so, as confirmed by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self-administering medication during the audit, however; the policy provides direction to facilitate this as per request.</w:t>
            </w:r>
          </w:p>
          <w:p w:rsidR="00EB7645" w:rsidRPr="00BE00C7" w:rsidP="00BE00C7">
            <w:pPr>
              <w:pStyle w:val="OutcomeDescription"/>
              <w:spacing w:before="120" w:after="120"/>
              <w:rPr>
                <w:rFonts w:cs="Arial"/>
                <w:b w:val="0"/>
                <w:lang w:eastAsia="en-NZ"/>
              </w:rPr>
            </w:pPr>
            <w:r w:rsidRPr="00BE00C7">
              <w:rPr>
                <w:rFonts w:cs="Arial"/>
                <w:b w:val="0"/>
                <w:lang w:eastAsia="en-NZ"/>
              </w:rPr>
              <w:t>A medication round was witnessed and demonstrated practice that reflected policy and best practice guidelines, including medicine management detailed recording and communication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seasonal menu proposed to residents was sighted, along with evidence that it was developed by a registered. Satisfaction surveys relating to food services are undertaken, the BCM collates the results which are incorporated into the meal service plan. plans.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expressed satisfaction with the meal quality and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special dietary requirements and preferences are assessed by RNs, who notifies the kitchen where it is displayed as a guideline for staff. Specialised crockery and cutlery are observed to be available to residents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 on-site. There was a current food control plan at the time of the on-site audit. The kitchen was observed to have food preparation, serving and cleaning areas, all of which were clean and tidy. </w:t>
            </w:r>
          </w:p>
          <w:p w:rsidR="00EB7645" w:rsidRPr="00BE00C7" w:rsidP="00BE00C7">
            <w:pPr>
              <w:pStyle w:val="OutcomeDescription"/>
              <w:spacing w:before="120" w:after="120"/>
              <w:rPr>
                <w:rFonts w:cs="Arial"/>
                <w:b w:val="0"/>
                <w:lang w:eastAsia="en-NZ"/>
              </w:rPr>
            </w:pPr>
            <w:r w:rsidRPr="00BE00C7">
              <w:rPr>
                <w:rFonts w:cs="Arial"/>
                <w:b w:val="0"/>
                <w:lang w:eastAsia="en-NZ"/>
              </w:rPr>
              <w:t>Kitchen, refrigerator and freezer cleaning records were sighted, as were maintenance records. Refrigerator and freezer temperature monitoring charts are kept as per cold chain management procedures as sighted during on-site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prepared food was seen to be covered, dated and stored in the refrigerator. Food ingredients were stored in sealed containers in a pantry, with visible opening dates. </w:t>
            </w:r>
          </w:p>
          <w:p w:rsidR="00EB7645" w:rsidRPr="00BE00C7" w:rsidP="00BE00C7">
            <w:pPr>
              <w:pStyle w:val="OutcomeDescription"/>
              <w:spacing w:before="120" w:after="120"/>
              <w:rPr>
                <w:rFonts w:cs="Arial"/>
                <w:b w:val="0"/>
                <w:lang w:eastAsia="en-NZ"/>
              </w:rPr>
            </w:pPr>
            <w:r w:rsidRPr="00BE00C7">
              <w:rPr>
                <w:rFonts w:cs="Arial"/>
                <w:b w:val="0"/>
                <w:lang w:eastAsia="en-NZ"/>
              </w:rPr>
              <w:t>All crockery and cutlery are stored in a clean covered storage area. Pest control is managed by a contracted service provider.</w:t>
            </w:r>
          </w:p>
          <w:p w:rsidR="00EB7645" w:rsidRPr="00BE00C7" w:rsidP="00BE00C7">
            <w:pPr>
              <w:pStyle w:val="OutcomeDescription"/>
              <w:spacing w:before="120" w:after="120"/>
              <w:rPr>
                <w:rFonts w:cs="Arial"/>
                <w:b w:val="0"/>
                <w:lang w:eastAsia="en-NZ"/>
              </w:rPr>
            </w:pPr>
            <w:r w:rsidRPr="00BE00C7">
              <w:rPr>
                <w:rFonts w:cs="Arial"/>
                <w:b w:val="0"/>
                <w:lang w:eastAsia="en-NZ"/>
              </w:rPr>
              <w:t>Meals and snacks are prepared, cooked and served in the kitchen; with some of the food being placed in bain-maries to be transported to two serving stations in other parts of the facility. Food serving temperature records were sighted at each serving station.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and two kitchen assistants were interviewed, were able to discuss food preparation, serving policy and process, and details of food safety standards. All staff interviewed held recognised qualifications for the position. </w:t>
            </w:r>
          </w:p>
          <w:p w:rsidR="00EB7645" w:rsidRPr="00BE00C7" w:rsidP="00BE00C7">
            <w:pPr>
              <w:pStyle w:val="OutcomeDescription"/>
              <w:spacing w:before="120" w:after="120"/>
              <w:rPr>
                <w:rFonts w:cs="Arial"/>
                <w:b w:val="0"/>
                <w:lang w:eastAsia="en-NZ"/>
              </w:rPr>
            </w:pPr>
            <w:r w:rsidRPr="00BE00C7">
              <w:rPr>
                <w:rFonts w:cs="Arial"/>
                <w:b w:val="0"/>
                <w:lang w:eastAsia="en-NZ"/>
              </w:rPr>
              <w:t>Food procurement, production, preparation, transportation, storage, delivery and disposal comply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files reviewed contained a current PCCP with records of interventions to meet the residents’ needs and desired outcomes. There was documented evidence of multidisciplinary team collaboration and allied health ongoing involvement in services such as podiatry, hearing services and ophthalmology. Documentation of GP reviews within timeframes required by the aged residential care contract or more often if required was sighted. Residents and families spoken to confirmed they had regular access to general medical practice. Families stated they were notified and updated of resident medical progress following GP consultations. </w:t>
            </w:r>
          </w:p>
          <w:p w:rsidR="00EB7645" w:rsidRPr="00BE00C7" w:rsidP="00BE00C7">
            <w:pPr>
              <w:pStyle w:val="OutcomeDescription"/>
              <w:spacing w:before="120" w:after="120"/>
              <w:rPr>
                <w:rFonts w:cs="Arial"/>
                <w:b w:val="0"/>
                <w:lang w:eastAsia="en-NZ"/>
              </w:rPr>
            </w:pPr>
            <w:r w:rsidRPr="00BE00C7">
              <w:rPr>
                <w:rFonts w:cs="Arial"/>
                <w:b w:val="0"/>
                <w:lang w:eastAsia="en-NZ"/>
              </w:rPr>
              <w:t>Wound care plans sighted reported interventions performed to promote healing and their rationale. Registered nurses interviewed explained they access and seek advice from a wound clinical nurse specialist when required.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access to adequate supplies of clinical resources and consumables, including dressing and incontinence products. This was confirmed by observation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planned and run by a registered diversional therapist (DT), with the help and support of an assistant. A monthly plan is displayed in prominent positions throughout the facility including in the resident’s bedroom as sighted during the on-site audit. The programme contains a variety of activities to meet the needs of residents, and includes an exercise programme, outdoor activities, outings, and cognitive games. Consideration is given to residents’ cultural needs. Residents are provided opportunities to share and learn about multiple cultures.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was interviewed and stated that the required support and resources to deliver a meaningful programme to all residents were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residents were seen partaking in a wide range of activities. Residents and family members interviewed confirmed they were satisfied with the range of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feedback is sought from residents and families on the programme and collated by the BCM. The BCM and the DT meet monthly to review the programme feedback and activities attendance records. When a resident systematic absence is noted, a one to one debriefing session is arranged with their agreement, in order to comprehend and facilitate personal engagement.  </w:t>
            </w:r>
          </w:p>
          <w:p w:rsidR="00EB7645" w:rsidRPr="00BE00C7" w:rsidP="00BE00C7">
            <w:pPr>
              <w:pStyle w:val="OutcomeDescription"/>
              <w:spacing w:before="120" w:after="120"/>
              <w:rPr>
                <w:rFonts w:cs="Arial"/>
                <w:b w:val="0"/>
                <w:lang w:eastAsia="en-NZ"/>
              </w:rPr>
            </w:pPr>
            <w:r w:rsidRPr="00BE00C7">
              <w:rPr>
                <w:rFonts w:cs="Arial"/>
                <w:b w:val="0"/>
                <w:lang w:eastAsia="en-NZ"/>
              </w:rPr>
              <w:t>Individual participation and interest in activities was documented through the clinical files sampled as an inclusion in the goals, evaluation, and review of the PCCP.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the residents’ care is continual and undertaken using a team approach that includes HCAs; the DT; GP; and RNs. Each shift a RN makes an entry in the clinical record as evidenced in records reviewed. The entry summarises the resident’s overall health status, any variance in health status and the resident’s response to the care provided during the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 centred care plans are re-evaluated six-monthly or more frequently if required. Evidence of timely evaluation was sighted in the clinical records. The process is led by a RN in collaboration with the multidisciplinary team. It includes consideration of the interRAI assessment, which is also updated six-monthly or more often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in a timely manner and signed off when the desired outcome is met. When the care progress differs from the expected outcome, the plan and/or the goal are re-assessed and modified as required. Evidence of re-assessment and modification of care plans and goals was sighted in clinical records sampled and confirmed by interviews with RNs.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their involvement in comprehensive care plan review and their awareness of care plans revisions, both short-term and long-term.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publicly displayed. There have not been any structural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observed on display and known to staff interviewed. Disaster and civil defence planning guides direct the facility in their preparation for disasters, by describing the procedures to follow in the event of a fire or other emergency. Staff interviewed confirmed their knowledge of emergency procedures. Staff file reviews evidenced that all RNs had current first aid certificates. Rosters confirmed that there is a staff member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barbeques were sighted and meet the requirements for the size and complexity of the facility. Residents’ registers in the emergency cupboards are current. </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regarding emergency staff training and emergency preparedness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has an established infection control plan and programme that includes surveillance in regard to the size and complexity of the organisation. The CNM leads the infection control programme, inclusive of surveillance in collaboration with external consultants and the Oceania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information is collected by RNs who document diagnosed infections within the service. Information is collated monthly by the CNM and subjected to internal Oceania benchmarking. Information related to trends and/or actions for infection management are reviewed at monthly quality meetings. Meeting minutes reviewed reflect a proactive response to preventable infections. Infection control actions are evaluated. A quality meeting was observed where information about infection control programme and surveillance was discussed.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records’ evidenced one outbreak of infection in June/July 2019. Outbreak management documentation confirmed the required notifications to the DHB infection control nurse, GP, Public Health and Section 31 reporting. Outbreak closure documentation reported: outbreak management that followed infection control policy requirements and sufficient resources to manage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Restraints and enablers are defined within the documented restraint minimisation policy and in line with relevant standards. The document provides guidelines and strategies to minimise the use of restraint. During the on-site audit, no restraints were in use and three enablers were in use. An enabler register is maintained and was sighted. There was documentation showing that residents and their families had voluntarily requested and consented to the use of an enabler as a means to increase safety or comfort. There was additional evidence that monitoring and evaluation of enablers usage occurs. Staff interviewed were familiar with the policy and able to discuss strategies to avoid restraint use. There was evidence to confirm that all staff receive annual training related to the use of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 for restraint is assessed by the CNM, a restraint assessment authorisation and plan tool is utilised to facilitate an assessment of the resident prior to implementing restraint. The tool meets the requirements of the standard. There were no restraints in use at the time of the audit. General practitioners interviewed confirmed that restraints were rarely used in the service, and that if restraint was used, they were involved in any decision making with regard to the use of restraint. Staff interviewed stated that restraints were rarely used and that the CNM assesses residents prior to using restraint. Documentation was sighted which confirmed residents who had used a restraint in the past had a completed assessment as per the standard and there was evidence alternative strategies were considered.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using an enabler during the audit (bedrails). Two of the three enablers were sighted and observed to have protective covers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Changes have been implemented to address the previous finding relating to documentation of alternative strategies and bedrail covers.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97"/>
        <w:gridCol w:w="1280"/>
        <w:gridCol w:w="4919"/>
        <w:gridCol w:w="2429"/>
        <w:gridCol w:w="17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Managers interviewed demonstrated an understanding of the requirements for corrective action plans and their implementation. Where issues were identified in internal audits, complaints and accidents/incidents reports, corrective action plans were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for implementation were specified in corrective action plans, however, there was inconsistent evidence that actions were implemented within the timeframe specified.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actions for implementation identified in correction action plans did not consistently evidenced documented evaluation of actions undertaken.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plans following internal audits, complaints and accident/incidents reports, do not consistently evidence adherence to timeframes or documentation of evaluation.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documented evidence that corrective actions are implemented within specified timeframes and actions are evaluated.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sighted were stored in a temperature-monitored environment that was unable to be accessed by unauthorised persons. The Oceania medication management policy details that the dates medicines are opened should be recorded. However, observation identified that not all eye drops and nasal sprays had the date of opening documented on the bottle.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wound care trolley was stocked with products and solutions to meet the needs of the residents, however, not all wound care solution bottles, wound care lotions and/or ointments had an opening date documented on the container.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medications and wound care solutions were stored in compliance with policy, guidelines, protocols and legislation.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and wound care solutions are to be stored in compliance with policy, guidelines, protocols and legislation.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The Oaks Rest Home and Village</w:t>
    </w:r>
    <w:bookmarkEnd w:id="58"/>
    <w:r>
      <w:rPr>
        <w:rFonts w:cs="Arial"/>
        <w:sz w:val="16"/>
        <w:szCs w:val="20"/>
      </w:rPr>
      <w:tab/>
      <w:t xml:space="preserve">Date of Audit: </w:t>
    </w:r>
    <w:bookmarkStart w:id="59" w:name="AuditStartDate1"/>
    <w:r>
      <w:rPr>
        <w:rFonts w:cs="Arial"/>
        <w:sz w:val="16"/>
        <w:szCs w:val="20"/>
      </w:rPr>
      <w:t>10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