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 Andrews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Andrews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September 2020</w:t>
      </w:r>
      <w:bookmarkEnd w:id="7"/>
      <w:r w:rsidRPr="009418D4">
        <w:rPr>
          <w:rFonts w:cs="Arial"/>
        </w:rPr>
        <w:tab/>
        <w:t xml:space="preserve">End date: </w:t>
      </w:r>
      <w:bookmarkStart w:id="8" w:name="AuditEndDate"/>
      <w:r w:rsidR="00A4268A">
        <w:rPr>
          <w:rFonts w:cs="Arial"/>
        </w:rPr>
        <w:t>8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St Andrews rest home and hospital is part of the Bupa aged care residential group.  The service provides rest home and hospital level of care for up to 40 residents.  On the day of the audit there were 39 residents.</w:t>
      </w:r>
    </w:p>
    <w:p w:rsidRPr="00A4268A">
      <w:pPr>
        <w:spacing w:before="240" w:line="276" w:lineRule="auto"/>
        <w:rPr>
          <w:rFonts w:eastAsia="Calibri"/>
        </w:rPr>
      </w:pPr>
      <w:r w:rsidRPr="00A4268A">
        <w:rPr>
          <w:rFonts w:eastAsia="Calibri"/>
        </w:rPr>
        <w:t xml:space="preserve">The care home manager has been in the role since the facility opened in October 2016 and has over 10 years of previous experience as a care home manager with Bupa in New Zealand and in the United Kingdom.  She holds a current practising certificate in nursing.  She is supported by a clinical manager/registered nurse who has been in the role for over two years.  </w:t>
      </w:r>
    </w:p>
    <w:p w:rsidRPr="00A4268A">
      <w:pPr>
        <w:spacing w:before="240" w:line="276" w:lineRule="auto"/>
        <w:rPr>
          <w:rFonts w:eastAsia="Calibri"/>
        </w:rPr>
      </w:pPr>
      <w:r w:rsidRPr="00A4268A">
        <w:rPr>
          <w:rFonts w:eastAsia="Calibri"/>
        </w:rPr>
        <w:t>The residents and relatives spoke positively about the staff and the care provided at Bupa St Andrews.</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This audit identified no areas identified for improvement.</w:t>
      </w:r>
    </w:p>
    <w:p w:rsidRPr="00A4268A">
      <w:pPr>
        <w:spacing w:before="240" w:line="276" w:lineRule="auto"/>
        <w:rPr>
          <w:rFonts w:eastAsia="Calibri"/>
        </w:rPr>
      </w:pPr>
      <w:r w:rsidRPr="00A4268A">
        <w:rPr>
          <w:rFonts w:eastAsia="Calibri"/>
        </w:rPr>
        <w:t xml:space="preserve">The service has been awarded a continuous improvement rating around falls reduction.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There is an established system for the management of complaints, which meets timeframes determined by HDC.</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Goals are documented for the service with evidence of regular reviews.  </w:t>
      </w:r>
    </w:p>
    <w:p w:rsidRPr="00A4268A">
      <w:pPr>
        <w:spacing w:before="240" w:line="276" w:lineRule="auto"/>
        <w:rPr>
          <w:rFonts w:eastAsia="Calibri"/>
        </w:rPr>
      </w:pPr>
      <w:r w:rsidRPr="00A4268A">
        <w:rPr>
          <w:rFonts w:eastAsia="Calibri"/>
        </w:rPr>
        <w:t xml:space="preserve">Bupa St Andrews is implementing the Bupa organisational quality and risk management system that supports the provision of clinical care.  Key components of the quality management system link to staff meetings.  Quality and risk performance are reported across the facility meetings and to the organisation's management team.  Interviews with staff and review of meeting minutes reflected a culture of continuous quality improvements.  An annual resident/relative satisfaction survey is completed and there are regular resident/relative newsletters.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that is specific to the role and responsibilities of the position.  Ongoing education and training for staff is being implemented.  </w:t>
      </w:r>
    </w:p>
    <w:p w:rsidRPr="00A4268A">
      <w:pPr>
        <w:spacing w:before="240" w:line="276" w:lineRule="auto"/>
        <w:rPr>
          <w:rFonts w:eastAsia="Calibri"/>
        </w:rPr>
      </w:pPr>
      <w:r w:rsidRPr="00A4268A">
        <w:rPr>
          <w:rFonts w:eastAsia="Calibri"/>
        </w:rPr>
        <w:t xml:space="preserve">The staffing levels meet contractual requirements.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 monthly.  Resident files included medical notes by the contracted general practitioner and nurse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 monthly by the general practitioner or nurse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is done on site.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an approved evacuation scheme and emergency supplies for at least three days.  At least one first aid trained staff member is on duty at all times.  </w:t>
      </w:r>
    </w:p>
    <w:p w:rsidRPr="00A4268A">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either restraints or enablers.  Restraint management processes are available if restraint is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46"/>
        <w:gridCol w:w="1280"/>
        <w:gridCol w:w="98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in English and in te reo Māori.  Policy relating to the Code is being implemented.  Staff receive training about the Code during their induction to the service.  This training continues through in-service education.  Interviews with twelve staff (four caregivers, two registered nurses (RNs), one maintenance, one laundry, one cook, one housekeeping, one activities coordinator, one hospitality staff) reflected their understanding of the key principles of the Code.  They can apply this knowledge to their job role and responsibilities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seven files reviewed, (three hospital and four rest home residents),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and relative meetings three-monthly.  Monthly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is held both in hard copy and electronically.  Only one complaint has been lodged in 2020 (year to date).  This complaint was reviewed.  There was documented evidence of the complaint being acknowledged, investigated and resolved.  Timelines determined by HDC were met, and corrective actions were actioned.  Details around this complaint and the developed corrective action plan were discussed in staff meetings, evidenced in the quality and general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clinical manager and registered nurses (RN) discuss aspects of the Code with residents and their family on admission.  Further discussions relating to the Code are held during the three-monthly resident/family meetings.  Seven residents (five rest home level and two hospital level) and six relatives (four rest home and two hospital) interviewed confirmed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receive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and cultural and ethnic backgrounds of Māori are valued and fostered within the service.   Staff encourage active participation and input of the family/whānau in the day-to-day care of the resident.  At the time of the audit there were no residents who identified as Māori living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documented iwi links and Māori staff who are employed by the service.  The facility is linked to the Pukete Primary school – kapa haka group who comes to sing for the residents especially around the Christmas season.  There are three regular Māori entertainers who come and sing for the residents during their happy hour on Fridays.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during their induction to the service and as a regular in-service topic, last occurring on 21 April 2020.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includes the identification of individual values and beliefs.  All care plans reviewed include the resident’s social, spiritual, cultural and recreational needs.  One resident who identified as Sri Lankan had cultural needs documented in their care plan, which addressed specific requests.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general practitioner (GP) visits the facility one day a week and a nurse practitioner (NP) visits once per week.  The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local district health board (DHB).  Physiotherapy services are provided on site, four hours per week.  There is a regular in-service education and training programme for staff.  A podiatrist is on site every six weeks.  The service has links with the local community and encourages residents to remain independent.  External visits from health professionals include a dietitian, palliative care/hospice and pharmacists who, in addition to supplying medication, complete six-monthly controlled drug audits and give advice to staff regarding medication.</w:t>
            </w:r>
          </w:p>
          <w:p w:rsidR="00EB7645" w:rsidRPr="00BE00C7" w:rsidP="00BE00C7">
            <w:pPr>
              <w:pStyle w:val="OutcomeDescription"/>
              <w:spacing w:before="120" w:after="120"/>
              <w:rPr>
                <w:rFonts w:cs="Arial"/>
                <w:b w:val="0"/>
                <w:lang w:eastAsia="en-NZ"/>
              </w:rPr>
            </w:pPr>
            <w:r w:rsidRPr="00BE00C7">
              <w:rPr>
                <w:rFonts w:cs="Arial"/>
                <w:b w:val="0"/>
                <w:lang w:eastAsia="en-NZ"/>
              </w:rPr>
              <w:t>St Andrews is benchmarked against Bupa rest home and hospital data.  If the results are above the benchmark, a corrective action plan is developed by the service.  All Bupa facilities have a master copy of all policies and procedures and a master copy of clinical forms filed alphabetically in folders.  These documents have been developed in line with current accepted best and/or evidence-based practice.  A number of core clinical practices also have education packages for staff.</w:t>
            </w:r>
          </w:p>
          <w:p w:rsidR="00EB7645" w:rsidRPr="00BE00C7" w:rsidP="00BE00C7">
            <w:pPr>
              <w:pStyle w:val="OutcomeDescription"/>
              <w:spacing w:before="120" w:after="120"/>
              <w:rPr>
                <w:rFonts w:cs="Arial"/>
                <w:b w:val="0"/>
                <w:lang w:eastAsia="en-NZ"/>
              </w:rPr>
            </w:pPr>
            <w:r w:rsidRPr="00BE00C7">
              <w:rPr>
                <w:rFonts w:cs="Arial"/>
                <w:b w:val="0"/>
                <w:lang w:eastAsia="en-NZ"/>
              </w:rPr>
              <w:t>The most recent resident and family satisfaction survey results reflected an overall net promoter score of +67% (67% promotors, 3% passive and 0% detractors).  Corrective actions are completed in areas identified for improvements.  This information is posted in a visible location for all to read.</w:t>
            </w:r>
          </w:p>
          <w:p w:rsidR="00EB7645" w:rsidRPr="00BE00C7" w:rsidP="00BE00C7">
            <w:pPr>
              <w:pStyle w:val="OutcomeDescription"/>
              <w:spacing w:before="120" w:after="120"/>
              <w:rPr>
                <w:rFonts w:cs="Arial"/>
                <w:b w:val="0"/>
                <w:lang w:eastAsia="en-NZ"/>
              </w:rPr>
            </w:pPr>
            <w:r w:rsidRPr="00BE00C7">
              <w:rPr>
                <w:rFonts w:cs="Arial"/>
                <w:b w:val="0"/>
                <w:lang w:eastAsia="en-NZ"/>
              </w:rPr>
              <w:t>A quarterly newsletter updates the residents and families about past and future events and developments both within St Andrews and the Bupa organisation as a whole.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Fifteen incidents/accidents forms selected for review indicated that family were informed.  Families interviewed confirmed they are notified of any changes in their family member’s health status and/or if an adverse event had occurred.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Andrews Care Home is part of the Bupa group of aged care facilities.  The service is certified to provide rest home and hospital (medical and geriatric) levels of care for up to 40 residents.  On the day of the audit there were 39 residents (30 rest home level and 9 hospital level).  All rest home and hospital beds are certified for dual purpose.  All residents were on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Bupa's overall vision and values are displayed in a visible location.  All staff are made aware of the vision and values during their induction to the service.  There is a strategic Bupa business plan and risk management plan.  There are documented, site-specific quality goals that address reducing residents’ falls by 5% and improving the laundry service by minimising missing/lost resident clothing.  Specific action plans are being implemented for each goal.  These are reviewed in the monthly quality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the facility opened in October 2016 and has over 10 years of previous experience as a care home manager with Bupa in New Zealand and in the United Kingdom.  She holds a current practising certificate in nursing.  She is supported by a clinical manager/registered nurse who has been in the role for over two years.  The clinical manager holds a New Zealand Bachelor’s Degree in Nursing and has worked in the aged care industry for over five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spoke positively about the support/direction and leadership of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for overall operations of the facility when the care home manager is absent.  The operations manager, who visits regularly, supports the clinical manager and care home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programmes are in place.  Interviews with the managers and staff confirmed their understanding of the implemented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process is being implemented to ensure that documents, including, but not limited to policies and procedures, are kept up to date.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indicator data collected (eg, falls, medication errors, antipsychotic drug usage, wounds, skin tears, pressure injuries, complaints) are collected, collated and analysed with results communicated to staff.  Corrective action plans are established and implemented for indicators above the benchmark.  An internal audit programme is in place.  In addition to scheduled monthly internal audits, an annual facility health check is conducted by an external Bupa representative. </w:t>
            </w:r>
          </w:p>
          <w:p w:rsidR="00EB7645" w:rsidRPr="00BE00C7" w:rsidP="00BE00C7">
            <w:pPr>
              <w:pStyle w:val="OutcomeDescription"/>
              <w:spacing w:before="120" w:after="120"/>
              <w:rPr>
                <w:rFonts w:cs="Arial"/>
                <w:b w:val="0"/>
                <w:lang w:eastAsia="en-NZ"/>
              </w:rPr>
            </w:pPr>
            <w:r w:rsidRPr="00BE00C7">
              <w:rPr>
                <w:rFonts w:cs="Arial"/>
                <w:b w:val="0"/>
                <w:lang w:eastAsia="en-NZ"/>
              </w:rPr>
              <w:t>Areas of non-compliance include the initiation of a corrective action plan with sign-off by either the care home manager or clinical manager when implemented.  Quality and risk data, and corrective action plans are shared with staff via meetings and also by posting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a specific and measurable health and safety goal that is developed by head office and is regularly reviewed.  Staff undergo annual health and safety training which begins during their orientation.  All staff are provided with written information about their responsibility under the Health Safety at Work Act 2015 (HSWA).  Contractors are required to be inducted into the facility and sign a health and safety information sheet when this has been completed.  Bupa belongs to the ACC Partnership Programme (expiry 31 March 2021) and have attained the tertiary level.  </w:t>
            </w:r>
          </w:p>
          <w:p w:rsidR="00EB7645" w:rsidRPr="00BE00C7" w:rsidP="00BE00C7">
            <w:pPr>
              <w:pStyle w:val="OutcomeDescription"/>
              <w:spacing w:before="120" w:after="120"/>
              <w:rPr>
                <w:rFonts w:cs="Arial"/>
                <w:b w:val="0"/>
                <w:lang w:eastAsia="en-NZ"/>
              </w:rPr>
            </w:pPr>
            <w:r w:rsidRPr="00BE00C7">
              <w:rPr>
                <w:rFonts w:cs="Arial"/>
                <w:b w:val="0"/>
                <w:lang w:eastAsia="en-NZ"/>
              </w:rPr>
              <w:t>The falls prevention programme has resulted in a rating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 and incident reporting policy.  Adverse events are investigated by the clinical manager and/or registered nursing staff, evidenced in all fifteen accident/incident forms reviewed (one pressure injury, one absconding, thirteen falls).  Adverse events are trended and analysed with results communicated to staff.  There is evidence to support actions are undertaken to minimise the number of incidents (link CI 1.2.3.6).  Clinical follow-up of residents is conducted by a registered nurse.  Unwitnessed falls include neurological observations, evidenced in five accident/incident forms.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confirmed her awareness of the requirement to notify relevant authorities in relation to essential notifications.  Since the previous audit, a section 31 report was completed for a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Seven staff files reviewed (three caregivers, one clinical manager/RN, one staff RN, one kitchen assistant and one activities assistant) evidenced that reference checks are completed before employment is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The orientation programme is specific to the job role and responsibilities.  The education programme being implemented is extensive and includes in-service training, competency assessments, and impromptu (toolbox) talks.  Caregivers are expected to complete an aged care education programme that meets the New Zealand Quality Authority (NZQSA) requirements.  Three of fourteen caregivers hold a New Zealand Qualification Authority (NZQA) level four qualification, five hold a NZQA level three qualification and three hold a NZQA level two qualification.  The remaining three caregiver staff are enrolled in Career force training.</w:t>
            </w:r>
          </w:p>
          <w:p w:rsidR="00EB7645" w:rsidRPr="00BE00C7" w:rsidP="00BE00C7">
            <w:pPr>
              <w:pStyle w:val="OutcomeDescription"/>
              <w:spacing w:before="120" w:after="120"/>
              <w:rPr>
                <w:rFonts w:cs="Arial"/>
                <w:b w:val="0"/>
                <w:lang w:eastAsia="en-NZ"/>
              </w:rPr>
            </w:pPr>
            <w:r w:rsidRPr="00BE00C7">
              <w:rPr>
                <w:rFonts w:cs="Arial"/>
                <w:b w:val="0"/>
                <w:lang w:eastAsia="en-NZ"/>
              </w:rPr>
              <w:t>In addition to in-service education, RN staff attend external DHB education (eg, palliative care clinical sessions) and five are involved in the weekly clinical meetings.  Five of eight RNs have completed their interRAI training.  The registered nurses and six caregivers have current first aid training.  A first aid trained staff is always present on activity outings.</w:t>
            </w:r>
          </w:p>
          <w:p w:rsidR="00EB7645" w:rsidRPr="00BE00C7" w:rsidP="00BE00C7">
            <w:pPr>
              <w:pStyle w:val="OutcomeDescription"/>
              <w:spacing w:before="120" w:after="120"/>
              <w:rPr>
                <w:rFonts w:cs="Arial"/>
                <w:b w:val="0"/>
                <w:lang w:eastAsia="en-NZ"/>
              </w:rPr>
            </w:pPr>
            <w:r w:rsidRPr="00BE00C7">
              <w:rPr>
                <w:rFonts w:cs="Arial"/>
                <w:b w:val="0"/>
                <w:lang w:eastAsia="en-NZ"/>
              </w:rPr>
              <w:t>Inhouse chemical safety training for applicable staff (including but not limited to housekeeping, laundry, kitchen staff) was completed on 26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The care home manager and clinical manager are available at the facility Monday - Friday.  The care home manager is on-call after hours for any organisational concerns and the clinical manager is on-call for clinical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wings.  Solano wing has five hospital and fourteen rest home level residents and Mistral wing has five hospital and fifteen rest home level residents.  The facility is full with one resident in public hospital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covers the entire facility.  One RN is rostered on each shift. </w:t>
            </w:r>
          </w:p>
          <w:p w:rsidR="00EB7645" w:rsidRPr="00BE00C7" w:rsidP="00BE00C7">
            <w:pPr>
              <w:pStyle w:val="OutcomeDescription"/>
              <w:spacing w:before="120" w:after="120"/>
              <w:rPr>
                <w:rFonts w:cs="Arial"/>
                <w:b w:val="0"/>
                <w:lang w:eastAsia="en-NZ"/>
              </w:rPr>
            </w:pPr>
            <w:r w:rsidRPr="00BE00C7">
              <w:rPr>
                <w:rFonts w:cs="Arial"/>
                <w:b w:val="0"/>
                <w:lang w:eastAsia="en-NZ"/>
              </w:rPr>
              <w:t>Caregiver roster: five caregivers are rostered on the AM shift (two long shift and three short shift).  During the PM shift three caregivers are rostered (two long and one short shift).  The night shift is staffed with two caregivers, one on each wing.  Extra staff can be called on for increased residents' requirements.  The Bupa pool for temporary staff is available if needed.</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is rostered five days a week.  Over the weekends an activities assistant covers Saturdays and Sundays from 10 am to 12 noon.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levels are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Electronic records are also secure using cloud-based technology.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Bupa admission policy.  All residents have a needs assessment completed prior to entry that identifies the level of care required.  The care home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there were no short stay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All appropriate documentation and communication were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available for safe medicine management that meet legislative requirements.  All clinical staff (RNs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Medications were appropriately stored in the facility medication room.  The medication fridge and medication room temperatures are monitored daily, and the temperatures were within acceptable ranges.  All medications including the bulk supply order is checked weekly and signed on the checklist form.  All eyedrops have been dated on opening.  Two residents were self-medicating on the day of audit and had self-medication assessments in place authorised by the GP as well as safe and secure storage in their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electronic medication charts were reviewed and one paper-based chart.  The medication charts reviewed identified that the GP had reviewed all resident medication charts three monthly.  Each drug chart has a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cook oversees the on-site kitchen and all cooking is undertaken on site.  There is a seasonal four-week winter and summer menu, which is reviewed by a dietitian at organisational level.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December 2020.  Kitchen staff are trained in safe food handling.  Staff were observed to be wearing correct personal protective clothing.  End-cooked and serving temperatures are taken on each meal.  Chiller and freezer temperatures are taken daily.  Cleaning schedules are maintained.  All foods were date labelled in the pantry, chiller and freezers.  Resident meetings, surveys and the food comments book allow for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the Bupa assessment booklets and person-centred templates (My Day, My Way) for all residents.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InterRAI assessments had been completed for all files reviewed within timeframes and areas triggered were addressed in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were reviewed across a range of conditions including (but not limited to) falls (two files), dementia, cultural care, a resident with an infection, a resident with oxygen therapy and a resident with high personal care needs.  Additional files were selected to confirm specific care intervention for; diabetes care, care of an indwelling catheter and a resident with swallowing difficulties.  In all files reviewed the care plans were comprehensive, addressed the resident need and were integrated with other allied health services involved in resident care.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detailed progress which reflected the interventions detailed in the long-term care plans.  When a resident's condition alters, the registered nurse initiates a review and if required, GP or specialist consultation.  Short-term care plans are documented for changes in health status.  Care plans reviewed documented sufficient detail to guide care staff in the provision of care.  A physiotherapist is employed to assess and assist residents’ mobility and transfer needs.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wound nurse specialist involvement in chronic wounds/pressure injuries.  There were 13 ongoing wounds including skin tears, surgical wound and chronic ulcers.  There was one stage one facility acquired pressure injury.  All wounds had wound assessments, appropriate management plans and ongoing evaluations completed.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are notified of any changes to their relative’s health including (but not limited to) accident/incidents, infections, health professional visits and changes in medications.  There was documented evidence of relative contact for any changes to resident health status on the family/whānau contact form held in the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coordinator and one activity assistant for two hours Saturday and Sunday morning.  There are set Bupa activities including themes and events.  A weekly activities calendar and newsletter is distributed to residents and is posted on noticeboards.  The activities coordinator catches up with each resident weekly to discuss activities for the resident.  The manager meets with each resident most days as part of a wellbeing check.  Residents interviewed stated that they enjoyed the personal care.</w:t>
            </w:r>
          </w:p>
          <w:p w:rsidR="00EB7645" w:rsidRPr="00BE00C7" w:rsidP="00BE00C7">
            <w:pPr>
              <w:pStyle w:val="OutcomeDescription"/>
              <w:spacing w:before="120" w:after="120"/>
              <w:rPr>
                <w:rFonts w:cs="Arial"/>
                <w:b w:val="0"/>
                <w:lang w:eastAsia="en-NZ"/>
              </w:rPr>
            </w:pPr>
            <w:r w:rsidRPr="00BE00C7">
              <w:rPr>
                <w:rFonts w:cs="Arial"/>
                <w:b w:val="0"/>
                <w:lang w:eastAsia="en-NZ"/>
              </w:rPr>
              <w:t>Group activities are voluntary and developed by the activities staff.  Residents are able to participate in a range of activities that are appropriate to their cognitive and physical capabilities.  The activity team provide a range of activities such as; library, exercises, bingo, golf, quizzes, van trips, movies and happy hour.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entertainers, church services and pet therapy visits.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is involved in the admission process, completing the initial activities assessment, and has input with the cultural assessment, ‘map of life’ and ‘my day my way’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positively of the activity programme with feedback and suggestions for activities made via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reviewed and evaluated by the registered nurse at least six-monthly or more frequently to reflect changes in health status, in all files sampled.  Six monthly multi-disciplinary reviews (MDR) and meeting minutes are completed by the registered nurse with input from caregivers, the GP, the activities coordinator, resident and family members and any other relevant person involved in the care of the resident.  The house GP or nurse practitioner reviews the resident at least three monthly.  Short-term care plans are in use for acute and short-term issues.  These are evaluated at regular evaluations.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St Andrews facilitates access to other medical and non-medical services.  Referral to other health and disability services is evident in the sample group of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 from rest home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3 March 2021.  A request book for repairs is maintained and signed off as repairs are completed.  There are full-time and part-time maintenance officers who carry out the 52-week planned maintenance programme.  There is a maintenance officer on call after hours for urgent matters.  The checking and calibration of medical equipment including hoists, has been completed annually.  All electrical equipment has been tested and tagged.  Hot water temperatures have been tested (randomly) and recorded fortnightly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wheelchair access to all areas.  The external areas are landscaped.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designed for hospital level care and allows for the use of mobility equipment.  Shared ensuites have locks and green/red lights to identify they are occupied.  The opposite door in the shared ensuite automatically locks when in use (interlocking).  These can be opened if necessary, by staff in an emergency.  There is a mobility bathroom with shower bed available.  Communal toilet facilities have a system that indicates if it is engaged or vacant.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Staff interviewed reported that rooms have sufficient space to allow cares to take place.  Residents are encouraged to bring their own pictures, photos and furniture to personalise their room,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main lounge, a large separate dining area, a café and a second smaller lounge area.  The lounges, dining room and café are accessible and accommodate the equipment required for the residents.  The lounges and dining areas are large enough to cater for activities.  Residents are able to move freely through and around these areas and furniture is placed to facilitate this.  Residents were seen to be moving freely both with and without assistance throughout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workflow and entry and exit doors.  All linen and personal clothing is laundered on site.  The chemical provider monitors the effectiveness of the laundry process.  Cleaning trolleys are kept in designated locked cupboards when not in use.  Residents and family interviewed reported satisfaction with the cleaning and laundry service.  Internal audits also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plans in place to guide staff in managing emergencies and disasters.  Emergencies, first aid and CPR are included in the mandatory in-service programme.  At least one staff member is on duty at all times with a current first aid certificate.  The facility has an approved fire evacuation scheme.  Fire evacuation drills take place every six months at a minimum.  Smoke alarms, a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civil defence kit is checked three-monthly.  There is sufficient water stored to ensure for three litres per day for three days per resident.  Call bells are evident in residents’ rooms, lounge areas and toilets/bathrooms.  Residents have call bells within reach (sighted) and this was confirmed during resident and relative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visitors’ book at reception for all visitors, including contractors, to sign in and out.  The facility is secured at night.  Access by public is limited to the main entrance.  Visiting hours have been limited due to Covid-19 with the hours set from 11 am to 4 pm during level two lockdown.  Covid-19 sign-in is mandatory for visitors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central heating that is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(RN) is responsible for infection control across the facility.  The infection control committee and the Bupa governing body is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  Bupa has implemented weekly teleconferences which allow for updates, education and discussion.  All visitors are required to provide contact tracing information.  All new residents are isolated for two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St Andrews  The infection control committee meet as part of staff meetings and also as part of the registered nurse meetings.  The IC coordinator has completed training in infection control.  External resources and support are available through the Bupa quality &amp; risk team, external specialists, microbiologist, GPs and nurse practitioners, wound nurse and DHB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team, training and education of staff and scope of the programme.  Policies are updated regularly and directed from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including trends, analysis and corrective actions/quality are discussed at staff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for benchmarking.  Corrective actions are established where trends are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using restraints or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restraint coordinator.  She understands strategies around restraint minimisation and maintaining a restraint free environment.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including assessing staff competency on RMSP/enablers begins during orientation and continues annually.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1503"/>
        <w:gridCol w:w="96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number of strategies are being implemented to reduce the overall number of falls with the most recent initiative around caregiver involvement in falls prevention demonstrating a significant reduction in falls.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number of residents’ falls were gradually increasing from August 2019 to May 2020 with a peak of 17 falls during the month of May 2020.  Strategies that have been in place include (but are not limited to) ensuring call bells are placed within reach, the use of sensor mats, encouraging participation in activities, physiotherapy input and intentional rounding.  The most recent initiative, implemented when falls were at their highest level in May, is being led by the caregivers and has included the identification of a falls champion (senior caregiver) and regular falls meetings with caregivers.  All caregivers are assigned four residents to check their rooms daily for any potential trip or fall hazards.  In addition, each resident fall is carefully analysed and trended to look for patterns.  And each resident who has experienced falls has strategies implemented specifically for them.  For example, one resident is toileted at a frequency that is greater than most due to her falls regularly occurring in the toilet.  Another resident has the caregivers running quickly to her room when the sensor mat alarm is activated.  A third resident who is known to fall due to reoccurring urinary tract infections has fluids encouraged with greater frequency.  Care plans identify these requirements.  The rate of falls has reduced from 17 (May 2020) to only seven in June, five in July and six in August.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 Andrews Care Home</w:t>
    </w:r>
    <w:bookmarkEnd w:id="58"/>
    <w:r>
      <w:rPr>
        <w:rFonts w:cs="Arial"/>
        <w:sz w:val="16"/>
        <w:szCs w:val="20"/>
      </w:rPr>
      <w:tab/>
      <w:t xml:space="preserve">Date of Audit: </w:t>
    </w:r>
    <w:bookmarkStart w:id="59" w:name="AuditStartDate1"/>
    <w:r>
      <w:rPr>
        <w:rFonts w:cs="Arial"/>
        <w:sz w:val="16"/>
        <w:szCs w:val="20"/>
      </w:rPr>
      <w:t>7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