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Atawhai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Atawhai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August 2020</w:t>
      </w:r>
      <w:bookmarkEnd w:id="7"/>
      <w:r w:rsidRPr="009418D4">
        <w:rPr>
          <w:rFonts w:cs="Arial"/>
        </w:rPr>
        <w:tab/>
        <w:t xml:space="preserve">End date: </w:t>
      </w:r>
      <w:bookmarkStart w:id="8" w:name="AuditEndDate"/>
      <w:r w:rsidR="00A4268A">
        <w:rPr>
          <w:rFonts w:cs="Arial"/>
        </w:rPr>
        <w:t>27 August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Audit included review of the reconfiguration of 14 rest home level beds to 14 dual purpose beds. The total dual-purpose beds is 83.</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Atawhai Rest Home and Village provides rest home and hospital level care for up to 83 residents. There were 80 residents at the facility on the first day of the audit.</w:t>
      </w:r>
    </w:p>
    <w:p w:rsidRPr="00A4268A">
      <w:pPr>
        <w:spacing w:before="240" w:line="276" w:lineRule="auto"/>
        <w:rPr>
          <w:rFonts w:eastAsia="Calibri"/>
        </w:rPr>
      </w:pPr>
      <w:r w:rsidRPr="00A4268A">
        <w:rPr>
          <w:rFonts w:eastAsia="Calibri"/>
        </w:rPr>
        <w:t xml:space="preserve">This unannounced surveillance audit was conducted against the relevant Health and Disability Services Standards, and services contracted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Areas requiring improvement from the previous audit, relating to documentation of corrective actions and observations following a fall, have been closed out.</w:t>
      </w:r>
    </w:p>
    <w:p w:rsidRPr="00A4268A">
      <w:pPr>
        <w:spacing w:before="240" w:line="276" w:lineRule="auto"/>
        <w:rPr>
          <w:rFonts w:eastAsia="Calibri"/>
        </w:rPr>
      </w:pPr>
      <w:r w:rsidRPr="00A4268A">
        <w:rPr>
          <w:rFonts w:eastAsia="Calibri"/>
        </w:rPr>
        <w:t>There were no corrective actions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about the Health and Disability Commissioner’s Code of Health and Disability Services Consumers’ Rights is accessible to residents and families. Information is provided to residents on admission and available within the facility.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Open communication between staff, residents and families is promoted, and documentation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Oceania Healthcare Limited is the governing body responsible for the services provided at this facility. The mission, vision and values of the organisation are documented and communicated to all concerned. </w:t>
      </w:r>
    </w:p>
    <w:p w:rsidRPr="00A4268A">
      <w:pPr>
        <w:spacing w:before="240" w:line="276" w:lineRule="auto"/>
        <w:rPr>
          <w:rFonts w:eastAsia="Calibri"/>
        </w:rPr>
      </w:pPr>
      <w:r w:rsidRPr="00A4268A">
        <w:rPr>
          <w:rFonts w:eastAsia="Calibri"/>
        </w:rPr>
        <w:t>An experienced business and care manager oversee the facility with the support of a regional manager. A clinical manager supervises the clinical services supported by a regional clinical and quality manager and registered nurses. The clinical manager is a registered nurse.</w:t>
      </w:r>
    </w:p>
    <w:p w:rsidRPr="00A4268A">
      <w:pPr>
        <w:spacing w:before="240" w:line="276" w:lineRule="auto"/>
        <w:rPr>
          <w:rFonts w:eastAsia="Calibri"/>
        </w:rPr>
      </w:pPr>
      <w:r w:rsidRPr="00A4268A">
        <w:rPr>
          <w:rFonts w:eastAsia="Calibri"/>
        </w:rPr>
        <w:t>The facility implements Oceania Healthcare Limited’s quality and risk management systems that includes collection and analysis of quality improvement data, identifies trends and informs quality improvements. Quality and risk performance is monitored through the organisation’s reporting systems. An internal audit programme is implemented.</w:t>
      </w:r>
    </w:p>
    <w:p w:rsidRPr="00A4268A">
      <w:pPr>
        <w:spacing w:before="240" w:line="276" w:lineRule="auto"/>
        <w:rPr>
          <w:rFonts w:eastAsia="Calibri"/>
        </w:rPr>
      </w:pPr>
      <w:r w:rsidRPr="00A4268A">
        <w:rPr>
          <w:rFonts w:eastAsia="Calibri"/>
        </w:rPr>
        <w:t xml:space="preserve">Policies and procedures support service delivery and are current and align with good practice, legislation, and guidelines. Monthly reports to the national support office allow for the monitoring of service delivery. </w:t>
      </w:r>
    </w:p>
    <w:p w:rsidRPr="00A4268A">
      <w:pPr>
        <w:spacing w:before="240" w:line="276" w:lineRule="auto"/>
        <w:rPr>
          <w:rFonts w:eastAsia="Calibri"/>
        </w:rPr>
      </w:pPr>
      <w:r w:rsidRPr="00A4268A">
        <w:rPr>
          <w:rFonts w:eastAsia="Calibri"/>
        </w:rPr>
        <w:t>The Oceania Healthcare Limited human resource policies and procedures are documented and implemented by Atawhai Rest Home and Village. Newly recruited staff undertake orientation appropriate to their role. Practising certificates for staff and contractors who require them, are validated annually.</w:t>
      </w:r>
    </w:p>
    <w:p w:rsidRPr="00A4268A">
      <w:pPr>
        <w:spacing w:before="240" w:line="276" w:lineRule="auto"/>
        <w:rPr>
          <w:rFonts w:eastAsia="Calibri"/>
        </w:rPr>
      </w:pPr>
      <w:r w:rsidRPr="00A4268A">
        <w:rPr>
          <w:rFonts w:eastAsia="Calibri"/>
        </w:rPr>
        <w:t>Staffing levels within the facility are sufficient to meet the needs of the resident’s acuity needs.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The interRAI assessment is used to identify residents’ needs and these are completed within the required timeframes. The general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 xml:space="preserve">Person centred care plans are developed using an electronic system and implemented within the required timeframes. They are individualised and based on an integrated range of clinical information. Residents’ needs, goals and outcomes are identified. All residents’ files reviewed demonstrated that evaluations were completed at least six-monthly.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 term care plans are in place to manage short 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in place. Medication management is in line with legislation and contractual requirements. Medications are administered by registered nurses and health care assistants who have completed current medication competency requirements. </w:t>
      </w:r>
    </w:p>
    <w:p w:rsidRPr="00A4268A" w:rsidP="00621629">
      <w:pPr>
        <w:spacing w:before="240" w:line="276" w:lineRule="auto"/>
        <w:rPr>
          <w:rFonts w:eastAsia="Calibri"/>
        </w:rPr>
      </w:pPr>
      <w:r w:rsidRPr="00A4268A">
        <w:rPr>
          <w:rFonts w:eastAsia="Calibri"/>
        </w:rPr>
        <w:t>The activity programme is managed by a diversional therapist. The programme provides residents with a variety of individual and group activities and maintains their links with the community. The service uses its facility van for outings in the community. Family are able to participate in the activities programme.</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certificate.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displayed. There had not been any alterations to the building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one restraint and nine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Oceania Healthcare National Office. There has been one outbreak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13"/>
        <w:gridCol w:w="1280"/>
        <w:gridCol w:w="98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complaints management. The complaints policy and associated forms meet the requirements of Right 10 of the Code. Information on the complaint process is provided to residents and families on admission. Residents and families interviewed were aware of how to make a complaint. The complaints forms are displayed and accessible within the facility. Staff interviewed confirmed their awareness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all written and verbal complaints received over the past year have been reviewed and actions taken, through to an agreed resolution. All written and verbal complaints are documented and completed within required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BCM advised that there had been no complaints laid with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relative’s status and were advised in a timely manner about any accidents/incidents and outcomes of any urgent medical reviews. This was supported in residents’ records reviewed. Staff interviews confirmed and understanding of the principles of open disclosure, which is supported by policies and procedures that meet the requirements of the Health and Disability Code of Health and Disability Services Commission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reported that they are informed of residents’ meetings which are held monthly and that they receive the facility newsletter. The facility newsletter was increased to monthly during the COVID-19 level 4 lockdown to keep both residents and families informed. Review of meeting minutes evidenced information such as verbal complaints and survey results is shared, and that there is an opportunity to provide feedback on services. Interviews with residents and families evidenced that the business and care manager (BCM) has an open-door policy and is approachable to answer any concerns or questions that arise. </w:t>
            </w:r>
          </w:p>
          <w:p w:rsidR="00EB7645" w:rsidRPr="00BE00C7" w:rsidP="00BE00C7">
            <w:pPr>
              <w:pStyle w:val="OutcomeDescription"/>
              <w:spacing w:before="120" w:after="120"/>
              <w:rPr>
                <w:rFonts w:cs="Arial"/>
                <w:b w:val="0"/>
                <w:lang w:eastAsia="en-NZ"/>
              </w:rPr>
            </w:pPr>
            <w:r w:rsidRPr="00BE00C7">
              <w:rPr>
                <w:rFonts w:cs="Arial"/>
                <w:b w:val="0"/>
                <w:lang w:eastAsia="en-NZ"/>
              </w:rPr>
              <w:t>Residents’ needs for interpreting services are discussed at the time of entry to services. Access to interpreters is organised through families, community groups or the district health board (DHB). Specific care arrangements made for residents with communication impairments are observed. There were no residents requiring the services of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(Atawhai) is part of Oceania Healthcare Limited (Oceania) and follows the overarching direction and strategic plans of the organisation. These are reviewed by the organisation’s board and senior management team each financial year. The executive team provides support to the facility with the regional clinical and quality manager (CQM) and a regional BCM providing support during this on-site audit. The BCM provides the executive management team with monthly progress against identified indicators. Oceania Healthcare Limited has an overarching business plan and Atawhai has a business plan specific to the facility. The organisation’s philosophy and strategic plan reflect a person/family centred approach.</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values were visible on display in the dining room, in the facility building.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a BCM who has been in this role for four years. The BCM has been employed by Oceania for seven years and has previous experience in the management of food service for Oceania. The BCM is supported by a clinical manager (CM) and the regional CQM. The CM who was not present at the audit, has been in the role for the past three years and is support in the role by three charge nurses, each allocated a specific wing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and CM maintain their knowledge of the sector through representation and participation in aged-care forums and seminars.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rest home and hospital level care for up to 83 residents. The facility is certified for 83 dual purpose beds. The reconfiguration relates to the adjustment of 14 rest home beds to 14 dual purpose beds including 25 occupational right agreements (ORAs).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a total of 80 residents in the facility, 34 receiving rest home care, 46 receiving hospital level care including 21 with rest home ORAs and four hospital level ORA’s. Included in these numbers were three people under 65 years, with physical disabilities, under the young people with disabilities (YPD) contract, two were assessed as requiring hospital level care and one assessed at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contracts with the DHB for the provision of hospital and rest home level of care, long term support - chronic health conditions and respite and day care services. There were no residents receiving care under the respite and day care services contracts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utilises Oceania’s quality and risk system, that reflects the principles of continuous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The Oceania management group reviews all policies with input from relevant experts. Polices reviewed cover the necessary aspects of the service and contractual requirements, including reference to the interRAI long term care facility (LTCF) assessment and process. Policies include references to current best practice and legislative requirements. New and revised policies are presented to staff at staff meetings and policy updates are also provided as part of relevant in-service education. Staff interviewed confirmed that they are provided with new and revised policies and opportunity to read and understand the policy.</w:t>
            </w:r>
          </w:p>
          <w:p w:rsidR="00EB7645" w:rsidRPr="00BE00C7" w:rsidP="00BE00C7">
            <w:pPr>
              <w:pStyle w:val="OutcomeDescription"/>
              <w:spacing w:before="120" w:after="120"/>
              <w:rPr>
                <w:rFonts w:cs="Arial"/>
                <w:b w:val="0"/>
                <w:lang w:eastAsia="en-NZ"/>
              </w:rPr>
            </w:pPr>
            <w:r w:rsidRPr="00BE00C7">
              <w:rPr>
                <w:rFonts w:cs="Arial"/>
                <w:b w:val="0"/>
                <w:lang w:eastAsia="en-NZ"/>
              </w:rPr>
              <w:t>The document control system ensures a systematic and regular control process, including the approval, distribution, and removal of documents.</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organisation’s reporting systems and includes: management of incidents and complaints; audit activities; a regular patient satisfaction survey; monitoring of outcomes; clinical incidents including infections; falls; medication errors; sentinel events; weight loss and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programme is documented and implemented as scheduled. Internal audits cover all aspects of the service and are completed by the BCM. Audit data is collected, collated and analysed. Where improvements are required following internal audits, corrective actions are developed. Interviewed staff reported that they are kept informed of audit activities and results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are conducted, for example general staff, quality improvement, and resident meetings monthly. Minutes of meetings evidenced communication with staff around aspects of quality improvement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indicators are collated monthly and benchmarked against other Oceania facilities. </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quality management data evidenced corrective action plans were completed using the Oceania template. Documentation included the person responsible for implementation and timeframes required. These were adhered to and evaluated as to the effectiveness of the plan. The previous requirement for improvement, to ensure that corrective actions documented in meeting minutes and complaints management, include the required person and the timeframes for implementation, is now closed.</w:t>
            </w:r>
          </w:p>
          <w:p w:rsidR="00EB7645" w:rsidRPr="00BE00C7" w:rsidP="00BE00C7">
            <w:pPr>
              <w:pStyle w:val="OutcomeDescription"/>
              <w:spacing w:before="120" w:after="120"/>
              <w:rPr>
                <w:rFonts w:cs="Arial"/>
                <w:b w:val="0"/>
                <w:lang w:eastAsia="en-NZ"/>
              </w:rPr>
            </w:pPr>
            <w:r w:rsidRPr="00BE00C7">
              <w:rPr>
                <w:rFonts w:cs="Arial"/>
                <w:b w:val="0"/>
                <w:lang w:eastAsia="en-NZ"/>
              </w:rPr>
              <w:t>Atawhai Rest Home and Village has a risk management programme in place. Health and safety policies and procedures are documented along with a hazard management programme. There was evidence of hazard identification forms completed when a hazard was identified and that hazards are addressed, and risks minimised. A trained health care assistant (HCA) is the health and safety officer. A current hazard register was sighted. Staff interviewed confirmed awareness of the process to report hazards.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Essential notification of reported events is the responsibility of the BCM. The BCM and CQM demonstrated in interviews they were aware of situations in which the service would need to report and notify statutory authorities including police attending the facility; unexpected deaths; sentinel events; notification of a pressure injury, disease outbreaks and changes in key managers. Staff interviewed understood the adverse event reporting process in relation to their professional practice and regulatory requirements. They were also able to describe the importance of reporting near misses.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witness an event or if first to respond to an event, document the adverse, unplanned or untoward accident/incident in an electronic management system. This system creates an automatic log of tasks to do as appropriate, such as neurological observations, falls assessments and contact with family members. The system automatically develops a report of incomplete tasks at the end of each shift. The CM is responsible for reviewing the lodged clinical accident/incident forms and the BCM nonclinical accidents/incidents. Results from accidents/incidents inform quality improvement processes and are discussed at facility meetings. Family interviewed confirmed that they are notified where the resident has had an accident or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 previous requirement for improvement, to ensure unwitnessed falls consistently record neurological observations,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validation of qualifications; a position specific job description; signed employment contract and annual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APCs and practitioners’ certificates are current. Current certificates were evidenced for staff and contractors that require them.</w:t>
            </w:r>
          </w:p>
          <w:p w:rsidR="00EB7645" w:rsidRPr="00BE00C7" w:rsidP="00BE00C7">
            <w:pPr>
              <w:pStyle w:val="OutcomeDescription"/>
              <w:spacing w:before="120" w:after="120"/>
              <w:rPr>
                <w:rFonts w:cs="Arial"/>
                <w:b w:val="0"/>
                <w:lang w:eastAsia="en-NZ"/>
              </w:rPr>
            </w:pPr>
            <w:r w:rsidRPr="00BE00C7">
              <w:rPr>
                <w:rFonts w:cs="Arial"/>
                <w:b w:val="0"/>
                <w:lang w:eastAsia="en-NZ"/>
              </w:rPr>
              <w:t>A copy of a current driver’s license and first aid certificates are obtained for all drivers of the van.</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records reviewed show documentation of completed orientation.</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documented role specific mandatory annual education and training module/schedule. The mandatory continuing education included but was not limited to: infection control, restraint/enabler use, moving and handling. Interviews confirmed that all staff, including RN’s undertake relevant education each year and that an appraisal schedule is in place. Staff education records evidenced on-going training and education is completed. Sixteen of the nineteen RNs were identified as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show consistent documentation of annual performance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uses a regional Oceania pre-populated roster that documents a process for determining staffing levels and skill mixes to provide safe service delivery, 24 hours a day, 7 days a week. The facility adjusts staffing levels to meet the changing needs of residents and sickness by flexing the current roster.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HCAs interviewed stated there were adequate staff available to complete the workload and specific tasks allocated to them. Residents and family interviewed support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ORAs are incorporated into the existing dual-purpose facility configuration. There is a nurses’ station in each wing and a charge nurse dedicated to the area on morning shifts, Monday through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 four-week roster cycle confirmed staff cover, including RN coverage, is provided in line with the requirements of the DHB contract, with staff replaced in any unplanned absence. At least one staff member on duty has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BCM, CM and/or a senior RN are on call after hours and weekends seven days a week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Prescribing practices in line with legislation, protocols and guidelines were observed. The required three-monthly reviews by the GP were recorded electronically. Resident allergies and sensitivities were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interviews with the RN confirmed this. The medication refrigerator temperatures are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The staff were observed administering medication and at interview demonstrated knowledge and clear understanding of their roles and responsibilities related to each stage of medication management and that they complied with the medicine administration policies and procedures. The RNs oversee the use of all pro re nata (PRN) medicines and documentation made regarding effectiveness on the electronic medication record was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residents self-administering medication during the on-site audit. Self-administration of medication was carried out in accordance with Oceania policy. A process is in place to ensure ongoing competency of the residents and self-administration of medication is authorised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meals are prepared on site and served in the dining room or in the residents’ rooms if requested. The seasonal menu has been reviewed by a dietitian, with the winter menu implemented at the time of audit. The food control plan is current. Food management training and certificates for chefs and kitchen staff were sighted.</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six-monthly. Diets are modified as needed and the chef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There were sufficient staff to ensure appropriate assistance was available. Residents and families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the RN and based on assessed needs, desired outcomes and goals of residents. Care planning includes specific interventions for long-term problems. Short-term care plans are in place for all short-term problems.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visits the facility three times a week. They verified that medical input is sought in a timely manner, that medical orders are followed, and care is of a high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There is evidence of wound care products available at the facility. The review of the wound care plans evidenced wounds are assessed in a timely manner and reviewed at appropriate intervals.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progress notes are recorded and maintained. Family communication is recorded in the progress notes. Interviews with residents and families confirmed that care and treatment met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a diversional therapist. Activities for the residents are provided five days a week, Monday to Friday. However, an activities coordinator has recently been employed to enable a seven day a week programme. The activities programme was displayed on the resident noticeboards. The activities programme provides variety in the content and includes a range of activities which incorporate: education; leisure; cultural; spiritual and community events. Regular van outings into the community are arranged.</w:t>
            </w:r>
          </w:p>
          <w:p w:rsidR="00EB7645" w:rsidRPr="00BE00C7" w:rsidP="00BE00C7">
            <w:pPr>
              <w:pStyle w:val="OutcomeDescription"/>
              <w:spacing w:before="120" w:after="120"/>
              <w:rPr>
                <w:rFonts w:cs="Arial"/>
                <w:b w:val="0"/>
                <w:lang w:eastAsia="en-NZ"/>
              </w:rPr>
            </w:pPr>
            <w:r w:rsidRPr="00BE00C7">
              <w:rPr>
                <w:rFonts w:cs="Arial"/>
                <w:b w:val="0"/>
                <w:lang w:eastAsia="en-NZ"/>
              </w:rPr>
              <w:t>The residents under the YPD contract confirmed that they were satisfied with activities that were provided, for example a personal garden space to develop and care for, trips to the garden centre and outings to maintain their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residents’ interests, family and previous occupations are gathered during the interview with the resident and their family and documented. The residents’ activity needs are reviewed six-monthly at the same time as the care plans and are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Person centred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publicly displayed. There have not been any structural alterations to the building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Healthcare surveillance policy describes the requirements for infection surveillance and includes the process for internal monitoring. The infection control nurse (ICN) is responsible for infection prevention and control in the facility and has a signed position description, which includes requirements of the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Internal infection prevention and control audits are completed. Infection data is collated monthly by the CM and is submitted to Oceania national office. Monthly surveillance data is collated and analysed to identify any trends, possible aetiology and any required actions. This data is reported at the monthly infection control meeting and at the monthly staff, clinical and quality meetings. A monthly infection control report is posted on the staff noticeboard.</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ICN confirmed there has been one outbreak in March 2020. Documentation reviewed confirmed that this had been managed and reported as required.</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available to all visitors to the facility. Oceania information including Ministry of Health information was available on-site. Infection prevention and control resources were available should a resident infection or outbreak occur. During the audit two residents were in precautionary isolation with unrelated symptoms. Staff interviews identified the GP had seen the residents and no further action was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restraint minimisation and safe practice standards and provide guidance on the safe use of both restraints and enablers. The CM is the restraint coordinator and has undertaken training for this role.</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was one resident using a restraint (bedrails) and nine residents using enablers (bedrails). Restraint is used as the last resort after all other alternatives have been tried. Use of enablers is voluntary. This was evident from documentation reviewed and staff interviews. The restraint register was sighted. 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Atawhai Rest Home and Village</w:t>
    </w:r>
    <w:bookmarkEnd w:id="58"/>
    <w:r>
      <w:rPr>
        <w:rFonts w:cs="Arial"/>
        <w:sz w:val="16"/>
        <w:szCs w:val="20"/>
      </w:rPr>
      <w:tab/>
      <w:t xml:space="preserve">Date of Audit: </w:t>
    </w:r>
    <w:bookmarkStart w:id="59" w:name="AuditStartDate1"/>
    <w:r>
      <w:rPr>
        <w:rFonts w:cs="Arial"/>
        <w:sz w:val="16"/>
        <w:szCs w:val="20"/>
      </w:rPr>
      <w:t>26 August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