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Rangiura Trust Board - Rangiura Rest Home &amp;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Rangiura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Rangiura Rest Home &amp;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September 2020</w:t>
      </w:r>
      <w:bookmarkEnd w:id="7"/>
      <w:r w:rsidRPr="009418D4">
        <w:rPr>
          <w:rFonts w:cs="Arial"/>
        </w:rPr>
        <w:tab/>
        <w:t xml:space="preserve">End date: </w:t>
      </w:r>
      <w:bookmarkStart w:id="8" w:name="AuditEndDate"/>
      <w:r w:rsidR="00A4268A">
        <w:rPr>
          <w:rFonts w:cs="Arial"/>
        </w:rPr>
        <w:t>17 September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Rangiura Rest Home and Retirement Village (Rangiura Home) provides rest home, dementia and hospital level care for up to76 residents. </w:t>
      </w:r>
    </w:p>
    <w:p w:rsidRPr="00A4268A">
      <w:pPr>
        <w:spacing w:before="240" w:line="276" w:lineRule="auto"/>
        <w:rPr>
          <w:rFonts w:eastAsia="Calibri"/>
        </w:rPr>
      </w:pPr>
      <w:r w:rsidRPr="00A4268A">
        <w:rPr>
          <w:rFonts w:eastAsia="Calibri"/>
        </w:rPr>
        <w:t xml:space="preserve">The service is owned and operated by the Rangiura Trust Board and managed by a general manager and a clinical nurse leader, plus other people in management roles, for example, human resources, finances, food services, and housekeeping. </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 (GP). </w:t>
      </w:r>
    </w:p>
    <w:p w:rsidRPr="00A4268A">
      <w:pPr>
        <w:spacing w:before="240" w:line="276" w:lineRule="auto"/>
        <w:rPr>
          <w:rFonts w:eastAsia="Calibri"/>
        </w:rPr>
      </w:pPr>
      <w:r w:rsidRPr="00A4268A">
        <w:rPr>
          <w:rFonts w:eastAsia="Calibri"/>
        </w:rPr>
        <w:t>The GP, residents and families spoke positively about the care provided.</w:t>
      </w:r>
    </w:p>
    <w:p w:rsidRPr="00A4268A">
      <w:pPr>
        <w:spacing w:before="240" w:line="276" w:lineRule="auto"/>
        <w:rPr>
          <w:rFonts w:eastAsia="Calibri"/>
        </w:rPr>
      </w:pPr>
      <w:r w:rsidRPr="00A4268A">
        <w:rPr>
          <w:rFonts w:eastAsia="Calibri"/>
        </w:rPr>
        <w:t>This audit has resulted in five new areas requiring improvement and one ongoing corrective action. These relate to weekend cleaning hours, residents who self-administer their medicines, the fire evacuation scheme, stored water for emergencies, records of restraint monitoring and review of the infection control programme. Achievements in the staff education programme is rated as continuous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Personal privacy, independence, individuality and dignity are supported. Staff interacted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and complaints were being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is used to identify and deliver ongoing training.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registered nurses and the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There is secure storage for chemicals and equipment.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Residents reported a timely staff response to call bells.  Security is maintained. Communal and individual spaces are maintained at a comfortable temperature.</w:t>
      </w:r>
    </w:p>
    <w:p w:rsidRPr="00A4268A">
      <w:pPr>
        <w:spacing w:before="240" w:line="276" w:lineRule="auto"/>
        <w:rPr>
          <w:rFonts w:eastAsia="Calibri"/>
        </w:rPr>
      </w:pP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Seven enablers and eight restraints were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 trained infection control coordinator, aims to prevent and manage infection.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87"/>
        <w:gridCol w:w="1280"/>
        <w:gridCol w:w="91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Rangiura Rest Home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provided relevant guidance to staff. Clinical files reviewed showed that informed consent has been gained appropriately using the organisation’s standard consent forms. Residents who were unable to provide consent, for example, those who are living with dementia, had the enduring power attorney (EPOA) involved in the consent processes. The GP, residents and family/EPOA were involved in the advance care planning and resuscitation treatment planning. Where residents were unable to consent for a resuscitation treatment plan, the GP was responsible for making a medical decision.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Interviewed residents and family reported that a copy of the Code, which also includes information on the Advocacy Service was given on admission. Posters and brochures related to the Advocacy Service were also displayed and available in the facility. Family members and residents spoken with were aware of the Advocacy Service, how to access this and their right to have support persons. Residents have an independent advocate who runs their residents’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The facility supports the philosophy of ‘The Eden Alternative’.</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in normal circumstances. However, due to the COVID-19 pandemic infection control requirements, visiting was restricted to one chosen family member/representatives daily for 30 minutes per visit and video calling was encouraged using facility owned iPad. Residents were observed communicating with family via the video calling on the days of the audit.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what to do if they had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18 complaints have been received over the past year and that actions taken, through to an agreed resolution, are documented and completed within the timeframes.  Action plans showed any required follow up and improvements have been made where possible.  The human resources manager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reported being made aware of the Code and the Nationwide Health and Disability Advocacy Service (Advocacy Service) as part of the admission information provided and discussion with staff on admission. The Code is displayed in several places around the facility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that they receive services in a manner that has regard for their dignity, privacy, sexuality, spirituality and choices. Residents’ individual choices were documented in the documents reviewed.</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maintain privacy throughout the audit.  All residents have a private room and personal cares were provided behind closed doors.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encouraged to maintain their independence by participation in community activities and in providing their own personal care if able to.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occur during orientation and annually as sighted in training records. Interviewed family and residents reported that no abuse or neglect has been witnessed.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residents who identified as Maori on the days of the audit. The residents were supported to integrate their cultural values and beliefs in their day to day activities. The principles of the Treaty of Waitangi were incorporated into day to day practice, as was the importance of whānau. There was a current Māori health plan developed with input from cultural advisers. Guidance on tikanga best practice was available and was supported by staff who identify as Māori in the facility. The interviewed Māori residents and their whānau reported that staff acknowledged and respected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representatives/enduring power of attorney (EPOA) were consulted for the residents in the dementia unit. Residents’ personal preferences required interventions and special needs were included in care plans reviewed. The resident satisfaction survey confirmed that individual needs were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Interviewed residents and family members stated that residents were free from any type of discrimination, harassment or exploitation and felt safe. Interviewed staff reported that the induction process for staff included education related to professional boundaries, expected behaviours and the Code of Conduct.  All registered nurses have records of completion of the required training on professional boundaries and monthly education on professional boundaries was conducted. Staff demonstrated a clear understanding of the process they would follow, should they suspect any form of exploitation. There were policies and procedures that serve as a guide for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the hospice team, diabetes nurse specialist, wound care specialist, psychogeriatrician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to access their own professional networks to support contemporary good practice. Other examples of good practice observed during the audit included incident reporting systems that were linked to open disclosure and quality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evident in residents’ records reviewed. Staff understood the principles of open disclosure, which was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all residents able to speak English. Interpreter services information was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general manager (GM) has been in the post for 24 months. This person has business management qualifications. Responsibilities and accountabilities are defined in this person’s job description and individual employment agreement. The board are kept informed verbally and in writing by the GM of all operational, quality and risk matters, confirmed by review of a sample of board meeting minutes and reports for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Rangiura Trust Board has agreements with the DHB for age related care (ARC) in rest home, dementia, and hospital (medical, geriatric care and palliative care) respite/short stay and day services.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73 of the 76 beds were occupied. Thirty-three residents were receiving rest home level care and 25 residents were receiving hospital level care. There were 15 of the 16 beds occupied by residents in the secure unit. There was one resident under the age of 65 years under the ARC contract, whose care was reviewed in depth.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human resources (HR) manager is nominated as the general manager (GM) with support from the clinical nurse leader (CNL) when the GM is absent.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the management of complaints, internal audits across all areas of service delivery and monitoring of outcomes, resident and relative satisfaction surveys and the reporting and collation of adverse events, such as accidents/incidents, pressure injuries, restraint interventions and infections.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uses a sector standardised system for reporting their quality data, for example, number of falls with or without injury, medicine errors, pressure injuries, restraint, urinary tract infections, bruising and skin tears, and staff incidents. This data is collated by the nominated health and safety officer who conducts a monthly analysis looking for trends and ensuring that actions are underway to remedy any unwanted trends. Where gaps or deficits in service delivery are identified, corrective actions are developed and implemented to address any shortfalls. All quality data is benchmarked across other similar facilities in NZ and against eight other age care facilities in the region who belong to the same group.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from quality monitoring is shared with staff at their meetings and written information was observed to be on display in staff areas. The staff interviewed confirmed that they are kept informed about the quality and risk management processes through internal audit activities and acting as representatives for health and safety matters.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are completed annually. Results from these and interviews revealed no major issues or areas of concern.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controlled and managed by the quality system operator to ensure a systematic and regular review process, referencing of relevant sources, approval, distribution and removal of obsolete documents. Policies are based on best practice and cover all aspects of the service and contractual requirements, including reference to the interRAI Long Term Care Facility (LTCF) assessment tool and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officer who is also the human resources (HR) manager described the processes for the identification, monitoring, review and reporting of risks and development of mitigation strategies. This manager is familiar with the Health and Safety at Work Act (2015) and has implemented requirements. Hazard identification processes are implemented, and the organisation’s risk/hazard plan is updated at regular intervals. There had been no staff injuries requiring notification to Worksafe NZ. The health and safety team comprises health care representatives, the CNL, training coordinator, diversional therapist (DT) and leaders from hospitality and maintenance. The team meet regularly. Minutes of these revealed that upward or downward trends in service delivery were discussed and ideas for improvement or to mitigate recurrence, were formulated for implementation. This group also serves as the quality and risk monitoring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and near miss events are entered into an electronic system which immediately alerts the GM, clinical nurse leader and the chairperson of the trust if the level of risk is critical or major. The system collates events, into type, resident and the most common time and place which allows quick analysis for trending.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incidents forms reviewed contained sufficient description of the event, who had been notified, and that each incident had been reviewed and/or investigated if follow up was indicated. </w:t>
            </w:r>
          </w:p>
          <w:p w:rsidR="00EB7645" w:rsidRPr="00BE00C7" w:rsidP="00BE00C7">
            <w:pPr>
              <w:pStyle w:val="OutcomeDescription"/>
              <w:spacing w:before="120" w:after="120"/>
              <w:rPr>
                <w:rFonts w:cs="Arial"/>
                <w:b w:val="0"/>
                <w:lang w:eastAsia="en-NZ"/>
              </w:rPr>
            </w:pPr>
            <w:r w:rsidRPr="00BE00C7">
              <w:rPr>
                <w:rFonts w:cs="Arial"/>
                <w:b w:val="0"/>
                <w:lang w:eastAsia="en-NZ"/>
              </w:rPr>
              <w:t>Adverse event data is collated and presented to the health and safety/quality committee and the health and safety reports go to the board and staff. Incident data is being benchmarked across a group of other age care provider that the organisation belongs to - Community Trusts in Care Association NZ (CTCA), and nationally with other like age care facilities.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and HR manager are responsible for essential notification reporting. Both understand the requirements. There have been four notifications of significant events made to the Ministry of Health, since the previous audit. Two were notifying changes in Trustees, one was a police investigation about theft from a resident, and one about an intruder.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management policies and processes are based on good employment practice and relevant legislation. The recruitment process includes referee checks, police vetting and validation of qualifications and practising certificates (APCs), where required.   A sample of ten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and the new staff member is ‘buddied’ for three consecutive shifts and competency assessed before working on their own. Staff reported that the orientation process prepared them well for their role.  Staff records reviewed showed documentation of completed orientation followed by an initial performance review. Annual performance appraisals have been completed. Continuing education is planned on an annual basis, including mandatory training requirements. Records reviewed demonstrated completion of the required training. </w:t>
            </w:r>
          </w:p>
          <w:p w:rsidR="00EB7645" w:rsidRPr="00BE00C7" w:rsidP="00BE00C7">
            <w:pPr>
              <w:pStyle w:val="OutcomeDescription"/>
              <w:spacing w:before="120" w:after="120"/>
              <w:rPr>
                <w:rFonts w:cs="Arial"/>
                <w:b w:val="0"/>
                <w:lang w:eastAsia="en-NZ"/>
              </w:rPr>
            </w:pPr>
            <w:r w:rsidRPr="00BE00C7">
              <w:rPr>
                <w:rFonts w:cs="Arial"/>
                <w:b w:val="0"/>
                <w:lang w:eastAsia="en-NZ"/>
              </w:rPr>
              <w:t>Care staff have either completed or commenced a New Zealand Qualification Authority education programme to meet the requirements of the provider’s agreement with the DHB.  Records reviewed demonstrated that 30 of the 54 health care assistants (HCAs) have completed level 4 or higher of the National Certificate in Health and Wellbeing (or its equivalent). Ten have achieved level 3, and 6 have achieved level 2.  A rating of continuous improvement is awarded in 1.2.7 in relation to staff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RNs, the CNL and the physiotherapist are maintaining annual competency requirements to undertake interRAI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care staff levels and skill mixes to provide safe service delivery, 24 hours a day, seven days a week (24/7). Staffing levels are adjusted to meet the changing needs of residents. There are seven RNs employed, including the fulltime clinical nurse leader, a fulltime physiotherapist and 54 HCAs.  An afterhours on call roster is in place, with staff reporting that good access to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interviews with management and review of two months of the roster cycle confirmed that adequate care staff and RN cover has been provided, with staff replaced in any unplanned absence by bureau staff. A number of casual staff have been employed to cover absences and recruitment to build up the casual pool of healthcare assistants was ongoing.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were satisfied with staff cover. </w:t>
            </w:r>
          </w:p>
          <w:p w:rsidR="00EB7645" w:rsidRPr="00BE00C7" w:rsidP="00BE00C7">
            <w:pPr>
              <w:pStyle w:val="OutcomeDescription"/>
              <w:spacing w:before="120" w:after="120"/>
              <w:rPr>
                <w:rFonts w:cs="Arial"/>
                <w:b w:val="0"/>
                <w:lang w:eastAsia="en-NZ"/>
              </w:rPr>
            </w:pPr>
            <w:r w:rsidRPr="00BE00C7">
              <w:rPr>
                <w:rFonts w:cs="Arial"/>
                <w:b w:val="0"/>
                <w:lang w:eastAsia="en-NZ"/>
              </w:rPr>
              <w:t>All RNs are maintaining a current first aid certificate with cardio-pulmonary resuscitation (CPR) and there is 24 hour, seven days a week (24/7) RN coverage in the facility. Only staff who have completed educational achievements in dementia care (US 23920-23923) are rostered for duties in the secure unit.</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numbers of allied staff employed and on site for other work tasks, with the exception of cleaning staff on the weekends. Action is required to ensure an adequate number of cleaners are rostered on for weekends.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were held securely on site and were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 Residents’ files were kept in cupboards in the locked nurses’ stations.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Rangiura Rest Home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the admission process and pre-admission pack to be completed by resident/family prior admission. The clinical nurse leader (CNL) stated that updated information was sought from NASC and the resident’s GP for residents accessing respite care. However, currently due to Coronavirus pandemic restrictions, respite care admissions have been put on hold.</w:t>
            </w:r>
          </w:p>
          <w:p w:rsidR="00EB7645" w:rsidRPr="00BE00C7" w:rsidP="00BE00C7">
            <w:pPr>
              <w:pStyle w:val="OutcomeDescription"/>
              <w:spacing w:before="120" w:after="120"/>
              <w:rPr>
                <w:rFonts w:cs="Arial"/>
                <w:b w:val="0"/>
                <w:lang w:eastAsia="en-NZ"/>
              </w:rPr>
            </w:pPr>
            <w:r w:rsidRPr="00BE00C7">
              <w:rPr>
                <w:rFonts w:cs="Arial"/>
                <w:b w:val="0"/>
                <w:lang w:eastAsia="en-NZ"/>
              </w:rPr>
              <w:t>Interviewed family members reported satisfaction with the admission process and the information that had been made available to them on admission. The reviewed files contained completed demographic detail, assessments and signed admission agreements in accordance with contractual requirements. Residents in the dementia unit had their admission agreements signed by the enduring power of attorney (EPOA). Service charges complied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was managed in a planned and co-ordinated manner, with an escort provided as appropriate. The service uses transfer forms to facilitate transfer of residents to and from acute care services. Open communication between all services, the resident and the family/whanau were confirmed in records reviewed. At the time of transition between services, appropriate information was provided for the ongoing management of the resident.  All referrals were documented in the progress notes. Interviewed family members reported being kept well informed during the transfer of their relative.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medicine management system observed on the days of the audit was paper based. The staff observed demonstrated good knowledge and had a clear understanding of their roles and responsibilities related to each stage of medicine management. All staff who administer medicines were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RNs check the delivered medications against the prescription and records of this were maintained. The RNs are responsible for medication reconciliation when a resident is transferred back to the facility from acute services as reported by the CNL. All medications sighted were within current use by dates. Clinical pharmacist input was provided on request. Controlled drugs were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included the prescriber’s signature and date recorded on the commencement and discontinuation of medicines and all requirements for pro re nata (PRN) medicines. The required three-monthly GP reviews were consistently recorded on the medicine chart.  Standing orders were not used. Residents who were self-administering medications did not have their self-administration competencies reviewed three-monthly as required.</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and the medication room reviewed were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were documented, analysis completed, and corrective actions were put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qualified cooks and a kitchen team and was in line with recognised nutritional guidelines for older people. The menu follows summer and winter patterns on a five weekly cycle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and current food safety plan and registration issued by Ministry of Primary Industries (MPI). Food temperatures, including for high risk items, were monitored appropriately and recorded as part of the plan. The food services manager has completed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Nutritional assessments were completed for each resident on admission to the facility and a dietary profile developed. Residents’ personal food preferences, any special diets and modified texture requirements were made known to kitchen staff and accommodated in the daily meal plan. Copies of dietary profiles were kept in the kitchen folder. Residents in the secure unit always have access to food and fluids to meet their nutritional needs. Special equipment, to meet residents’ nutritional needs, was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CNL reported that if a referral for prospective resident does not meet the entry criteria or there is no vacancy, the local NASC is advised to ensure the prospective resident and family are supported to find an appropriate care alternative. Examples of this occurring were discussed.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assessment tools, such as a pain scale, falls risk, skin integrity, nutritional screening and continence assessment, were used to identify any deficits and to inform care planning. The sample of care plans reviewed had an integrated range of resident-related information. All residents had current interRAI assessments completed and the relevant outcome scores have supported care plan goals and interventions.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reflected the support needs of residents, and the outcomes of the integrated assessment process and other relevant clinical information. The needs identified by the interRAI assessments were reflected in care plans reviewed. Care plans evidenced service integration with information from the nursing team, activities, medical and allied health professionals’ assessments and recommendations. Any change in care required was documented and verbally passed on to relevant staff as verified in the reviewed records and in staff interviews. Behaviour management plans reviewed included triggers and appropriate interventions. All staff had access to care plans including short term care plans.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care provided to residents was consistent with their needs, goals and the plan of care. The attention to meeting a diverse range of residents’ individualised needs was evident in all areas of service provision. The GP and the nurse practitioner visit the facility four days per week: two days by the GP and two days by the nurse practitioner. The interviewed GP verified that medical input was sought in a timely manner, medical orders were followed, and care was provided as recommended. Care staff confirmed that care was provided as outlined in the documentation. A range of equipment and resources were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trained diversional therapists (DTs) holding the national Certificate in Diversional Therapy and one assistant who has completed Careerforce level 4 training were responsible for the implementing the activities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DTs reported that residents’ social profiles are completed by the family prior to admission or completed by the DT with input from the resident and/family on admission to ascertain residents’ needs, interests, abilities and social requirements. Activities care plans were completed by the DTs with information obtained from the social history assessment and observations from staff. Twenty-four-hour care plans were completed for all residents in the dementia unit.  Activities assessments were regularly reviewed to help formulate an activities programme that is meaningful to the residents.  Residents’ activity needs were evaluated as needed where a significant change in a resident’s participation was noted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were offered. Activities on the programme included church services, board games, bowls, quiz, art, music and van outings. Daily attendance records were maintained and documentation in activities progress notes was completed. Residents and families/whānau were involved in evaluating and improving the programme through residents’ meetings, multidisciplinary meetings with family and residents, and satisfaction surveys. Residents interviewed confirmed they find the programme satisfactory.</w:t>
            </w:r>
          </w:p>
          <w:p w:rsidR="00EB7645" w:rsidRPr="00BE00C7" w:rsidP="00BE00C7">
            <w:pPr>
              <w:pStyle w:val="OutcomeDescription"/>
              <w:spacing w:before="120" w:after="120"/>
              <w:rPr>
                <w:rFonts w:cs="Arial"/>
                <w:b w:val="0"/>
                <w:lang w:eastAsia="en-NZ"/>
              </w:rPr>
            </w:pPr>
            <w:r w:rsidRPr="00BE00C7">
              <w:rPr>
                <w:rFonts w:cs="Arial"/>
                <w:b w:val="0"/>
                <w:lang w:eastAsia="en-NZ"/>
              </w:rPr>
              <w:t>Activities for residents from the secure dementia unit were specific to the needs and abilities of the people living there. Activities were offered at times when residents were most physically active and/or restless. This included small walks in the secure garden area and one on one activities like manicure, bowls and music therapy.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by the healthcare assistants. They reported that any changes noted were reported to the RNs. The RNs document in the progress notes daily. This was verified in the documents reviewed.</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were completed and documented every six months following the six-monthly interRAI reassessments and when residents’ needs change. Where progress was different from expected, the service responded by initiating changes to the plan of care. Short-term care plans reviewed were evaluated consistently as clinically indicated. Examples of short-term care plans sighted were for urinary tract infections, wounds, and chest infections. Unresolved problems were added into long term care plans.  Residents and families/whānau interviewed confirmed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CNL reported that residents are supported to access or seek referral to other health and/or disability service providers. Where other non-urgent services were indicated or requested, referrals were sent by the GP or RN to seek specialist input. Copies of referrals were sighted in residents’ files, including to the mental health team, hospice and eye specialists. The resident and the family/whānau were kept informed of the referral process, as verified by documentation and interviews. Any acute/urgent referrals were attended to immediately, such as sending the resident to accident and emergency in an ambulance if the circumstances dictated. Adequate information was provided to ensure continuity of care for the resident. The CNL reported that a referral for reassessment to the NASC is made and a new placement found, in consultation with the resident and whānau/family, when the needs of a resident changed and they were no longer suitable for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were plentiful supplies of protective clothing and equipment (masks, gloves, disposable aprons, footwear, eye protection) available on site and staff were observed to be using this. All visitors were being temperature checked and provided masks to wear on the days of audit. Visits were limited to 30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07 December 2020) is publicly displayed.  There has been no change in the physical layout of any buildings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Regular inspections are carried out to ensure the environment is hazard free, that residents are safe and independence is promoted. The furniture, fittings and chattels were observed to be in good condition. Medical equipment is checked and calibrated annually, and the lifting hoists are checked and maintained by an external supplier each year. Electrical items had been recently tested and tagged.</w:t>
            </w:r>
          </w:p>
          <w:p w:rsidR="00EB7645" w:rsidRPr="00BE00C7" w:rsidP="00BE00C7">
            <w:pPr>
              <w:pStyle w:val="OutcomeDescription"/>
              <w:spacing w:before="120" w:after="120"/>
              <w:rPr>
                <w:rFonts w:cs="Arial"/>
                <w:b w:val="0"/>
                <w:lang w:eastAsia="en-NZ"/>
              </w:rPr>
            </w:pPr>
            <w:r w:rsidRPr="00BE00C7">
              <w:rPr>
                <w:rFonts w:cs="Arial"/>
                <w:b w:val="0"/>
                <w:lang w:eastAsia="en-NZ"/>
              </w:rPr>
              <w:t>Visual inspection showed that all external areas are appropriate to the resident groups and review of the maintenance records confirmed these are regularly maintained for safety.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environment in the dementia unit was safe and appropriate for the people residing there. There was no special equipment in use. Access to the kitchen was secured with a gate. Furniture and surroundings were suitable.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adequate numbers of accessible bathroom and toilet facilities throughout the facility. This included shared ensuite rooms in one wing and staff/visitor toilets. Appropriately secured and approved handrails are provided in the toilet/shower areas, and other equipment/accessories are available to promote residents’ independence. Hot water is moderated by tempering valves and temperatures are tested monthly. The records of these revealed that temperatures are kept within a safe range.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bedroom provides enough space for residents and staff to move around safely. The bedrooms are for single accommodation, except for one room being shared by a couple. Rooms are individualised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was sufficient room throughout the facility to store mobility aids, wheel chairs and mobility scooters. Staff and residents were satisfied with the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 facility is spread across four different wings, each with a small lounge, with comfortable seats and books available for quiet time. Residents are served meals in three different dining areas, with some temporarily using the main hall as only two people were being seated at the same table for Covid19 precautions. There is one large dining room which has a smaller dining area set up adjacent to it and there is a separate dining room in the new wing. All are within easy walking distance from bedrooms. A choice of good-sized lounges are available for activities. </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provides a large open lounge, separated by a ‘semi wall’ with a designated dining area.</w:t>
            </w:r>
          </w:p>
          <w:p w:rsidR="00EB7645" w:rsidRPr="00BE00C7" w:rsidP="00BE00C7">
            <w:pPr>
              <w:pStyle w:val="OutcomeDescription"/>
              <w:spacing w:before="120" w:after="120"/>
              <w:rPr>
                <w:rFonts w:cs="Arial"/>
                <w:b w:val="0"/>
                <w:lang w:eastAsia="en-NZ"/>
              </w:rPr>
            </w:pPr>
            <w:r w:rsidRPr="00BE00C7">
              <w:rPr>
                <w:rFonts w:cs="Arial"/>
                <w:b w:val="0"/>
                <w:lang w:eastAsia="en-NZ"/>
              </w:rPr>
              <w:t>During the current ‘lock down’ visitors were booking 30 minute visits. All were screened before entering the home and required to wear face masks.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washed and dried on site in a designated laundry by dedicated laundry staff who are employed seven days a week.  The laundry staff interviewed demonstrated a good knowledge about safe and hygienic processes, using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A team of cleaners receive ongoing support and training from a household manger, and all have completed an NZQA Level 2 qualification in cleaning. This was confirmed in interview with cleaning staff and review of training records. When not in use, cleaning chemicals were stored in a lockable cupboard and were in appropriately labelled containers. Cleaning and laundry processes are monitored through the internal audit programme and by the visiting chemical supplier.</w:t>
            </w:r>
          </w:p>
          <w:p w:rsidR="00EB7645" w:rsidRPr="00BE00C7" w:rsidP="00BE00C7">
            <w:pPr>
              <w:pStyle w:val="OutcomeDescription"/>
              <w:spacing w:before="120" w:after="120"/>
              <w:rPr>
                <w:rFonts w:cs="Arial"/>
                <w:b w:val="0"/>
                <w:lang w:eastAsia="en-NZ"/>
              </w:rPr>
            </w:pPr>
            <w:r w:rsidRPr="00BE00C7">
              <w:rPr>
                <w:rFonts w:cs="Arial"/>
                <w:b w:val="0"/>
                <w:lang w:eastAsia="en-NZ"/>
              </w:rPr>
              <w:t>There is a requirement in standard 1.2.8 to review the number of cleaners rostered on each weekend.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guides direct the organisation in their preparation for disasters and described the procedures to be followed in the event of a fire or other emergency.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Inspection of the fully equipped civil defence kit revealed this was easily accessible and its contents were being inspected two monthly. There is sufficient food but not enough stored water available for a maximum of 76 residents for three days in the event of a civil defence emergency; an improvement is required. During a regional area water shortage in 2019, the local council provided a water truck to the home. An onsite generator is available for use during power outages. This and the emergency lighting is checked for functionality monthly. Gas ovens and barbeques are available for cooking if there is no electricity. Surplus blankets are stored for warmth.  </w:t>
            </w:r>
          </w:p>
          <w:p w:rsidR="00EB7645" w:rsidRPr="00BE00C7" w:rsidP="00BE00C7">
            <w:pPr>
              <w:pStyle w:val="OutcomeDescription"/>
              <w:spacing w:before="120" w:after="120"/>
              <w:rPr>
                <w:rFonts w:cs="Arial"/>
                <w:b w:val="0"/>
                <w:lang w:eastAsia="en-NZ"/>
              </w:rPr>
            </w:pPr>
            <w:r w:rsidRPr="00BE00C7">
              <w:rPr>
                <w:rFonts w:cs="Arial"/>
                <w:b w:val="0"/>
                <w:lang w:eastAsia="en-NZ"/>
              </w:rPr>
              <w:t>The provider is still waiting for the NZ Fire and Emergency Services to issue approval of the reviewed fire evacuation scheme. This previously required corrective action is ongoing.</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and records reviewed confirmed that fire drills were occurring six-monthly, the most recent being on 08 August this year. Results of the drills are sent to the Fire Service.  The orientation programme includes fire and security training.  Staff confirmed their awareness of essential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Residents and families reported staff respond promptly to call bells and this was observed.</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were in place. There are security stays on all windows, doors are locked and checked at 6pm and 9pm and a security company patrols the premises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opening external windows. Heating is provided by electricity in residents’ rooms and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Rangiura Rest Home has implemented an infection prevention and control (IPC) programme to minimise the risk of infection to residents, staff and visitors. The programme is guided by a comprehensive and current infection control manual, with input from external infection control specialist.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(RN) is the designated infection control coordinator (ICC), whose role and responsibilities are defined in the infection prevention and control policy. The ICC has been in the position for three months. Infection control matters, including surveillance results, were reported monthly to the general manager and the CNL and tabled at the quality and risk committee meeting. This committee includes the CNL, ICC, health and safety officer, clinical team, the physiotherapist and representatives from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There were posters at the main entrance to the facility requesting anyone who is, or has been unwell in the past 48 hours, not to enter the facility. There was a room that was set aside for use by visitors during the Covid-19 pandemic period.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The annual review of the infection control programme has not been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appropriate skills, knowledge and qualifications for the role, and has been in this role for three months. The ICC has attended relevant study days, as verified in training records sighted.  Additional support and information are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confirmed the availability of resources to support the programme and any outbreak of an infection. Resources sighted on the days of the audit include hand sanitisers around the facility, gloves, gowns, aprons and information on infection control measures were posted and accessible to residents and staff.</w:t>
            </w:r>
          </w:p>
          <w:p w:rsidR="00EB7645" w:rsidRPr="00BE00C7" w:rsidP="00BE00C7">
            <w:pPr>
              <w:pStyle w:val="OutcomeDescription"/>
              <w:spacing w:before="120" w:after="120"/>
              <w:rPr>
                <w:rFonts w:cs="Arial"/>
                <w:b w:val="0"/>
                <w:lang w:eastAsia="en-NZ"/>
              </w:rPr>
            </w:pPr>
            <w:r w:rsidRPr="00BE00C7">
              <w:rPr>
                <w:rFonts w:cs="Arial"/>
                <w:b w:val="0"/>
                <w:lang w:eastAsia="en-NZ"/>
              </w:rPr>
              <w:t>Appropriate Covid-19 pandemic infection control monitoring measures were implemented as per Ministry of Health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were last reviewed within the past two years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were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on infection prevention and control at orientation and ongoing education sessions.  Education was provided by suitably qualified RNs and external infection control specialists. Content of the training was documented and evaluated to ensure it was relevant, current and understood. Records of attendance were maintained. When an infection outbreak or an increase in infection incidence has occurred, there was evidence that additional staff education has been provided in response. An example of this was when the Covid-19 pandemic started, additional staff education was conducted, and additional staff were being used to ensure social distancing for residents was maintained safely.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was on a one-to-one basis and in groups in residents’ meetings, and has included reminders about handwashing, advice about remaining in their room if they are unwell, increasing fluid intake when there was an infection, for example, a urinary tract infections. This was verified in the records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infections was appropriate to that recommended for long term care facilities and included infections of the urinary tract, soft tissue, eye, influenza, gastro-intestinal, and the upper and lower respiratory tract. The ICC reviews all reported infections, and these were documented. New infections and any required management plans were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was collated and analysed to identify any trends, possible causative factors and required actions. Results of the surveillance programme were shared with staff via regular staff meetings and at staff handovers. Graphs were produced that identified trends for the current year, and this was reported to the CNL and infection control committee. Data was benchmarked externally with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There has been no infection outbreak reported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full time employed physiotherapist is the restraint coordinator. This person provides support and oversight for enabler and restraint use and demonstrated a good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eight residents were using lap belts and bed rails as restraints and seven residents were using the same, voluntarily and at their request as enablers.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which comprises the physiotherapist/coordinator, CNL, a diversional therapist and either the GP or nurse practitioner, are responsible for approving use of restraints and the overall restraint process. The group meet at least every six months. Review of restraint approval group meeting minutes, and interviews with the coordinator confirmed clear lines of accountability, that all restraints had been approved, and that the overall use of restraints is being monitored and analysed monthly at multidisciplinary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family/whānau/EPOA involvement in the decision making was seen in the consent and assessment forms for each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restraint coordinator who is a registered physiotherapist undertakes the initial assessment with sign off by an RN, and input from the resident’s family/whānau/EPOA. The restraint coordinator interviewed described the documented process. Families confirmed their involvement. The general practitioner or the nurse practitioner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sample of restraint records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was actively minimised. The restraint coordinator described how alternatives to restraints are discussed with staff and family members, for example, the use of sensor mats and low beds, with fall out mattresses. </w:t>
            </w:r>
          </w:p>
          <w:p w:rsidR="00EB7645" w:rsidRPr="00BE00C7" w:rsidP="00BE00C7">
            <w:pPr>
              <w:pStyle w:val="OutcomeDescription"/>
              <w:spacing w:before="120" w:after="120"/>
              <w:rPr>
                <w:rFonts w:cs="Arial"/>
                <w:b w:val="0"/>
                <w:lang w:eastAsia="en-NZ"/>
              </w:rPr>
            </w:pPr>
            <w:r w:rsidRPr="00BE00C7">
              <w:rPr>
                <w:rFonts w:cs="Arial"/>
                <w:b w:val="0"/>
                <w:lang w:eastAsia="en-NZ"/>
              </w:rPr>
              <w:t>When restraints are in use, frequent monitoring occurs to ensure the resident remains safe. Access to advocacy is provided if requested and all processes ensure dignity and privacy are maintained and respected.  The monitoring forms do not reliably record off and on times for restraint or the interventions provided while a restraint is in place. An improvement is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register is maintained and updated as required. This is reviewed at each restraint approval group meeting. The register contained clear details about all the residents currently using restraints or enablers and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six monthly. This process focuses on the person, any changes in their condition and whether or not the restraint is still required. Two family members interviewed confirmed their involvement in the evaluation process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undertakes a six-monthly review of all restraint use which includes all the requirements of this standard. Interview with the restraint coordinator, minutes of these meetings and the results of internal audits confirmed that monitoring and quality review of overall restraint use is occurring.  The review considers the amount and type of restraint use in the facility, whether all alternatives to restraint have been considered, the effectiveness of the restraint in use, the competency of staff and the appropriateness of restraint/enabler education and any feedback from the GP/nurse practitioner, staff and families. Any changes to policies, guidelines, education and processes are implemented if indicated. Use of restraints is also discussed at the monthly multidisciplinary meetings and health and safety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339"/>
        <w:gridCol w:w="1280"/>
        <w:gridCol w:w="3946"/>
        <w:gridCol w:w="1915"/>
        <w:gridCol w:w="1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and review of rosters showed there are four cleaners on site Monday to Friday who each work five or six hours. This includes a dedicated cleaner for the secure unit.  One of those cleaners is expected to be the sole cleaner every fourth weekend. Although these are six hour shifts on a Saturday and Sunday, the main facility is very large and the secure unit has 16 bedrooms and a large communal area. Staff interviewed said that only the bare minimum of cleaning can be completed on the weekends, for example, vacuuming of common areas, emptying of rubbish bins and toilet/bathroom cleaning.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number of cleaning hours allocated over the weekend is insufficient for the size of the care home.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sufficient hours and numbers of cleaning staff are provided during the weekend.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three residents self-administering medications at the time of audit.  Self-medication administration competency forms were completed initially when self-medication administration was approved. However, the recommended three-monthly reviews of residents’ competency were not completed thereafter as per organisation’s policy. All the overdue competencies were reviewed on the days of the audit, and the residents were assessed as competent. No adverse events were reported regarding self- medication administration.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All self-administration competencies were not reviewed three-monthly as per organisation’s policy. Some were more than year overdue.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competency of the residents who administer their own medicines are reviewed three-monthly as per policy to ensure safety of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1.4.7.3</w:t>
            </w:r>
          </w:p>
          <w:p w:rsidR="00EB7645" w:rsidRPr="00BE00C7" w:rsidP="00BE00C7">
            <w:pPr>
              <w:pStyle w:val="OutcomeDescription"/>
              <w:spacing w:before="120" w:after="120"/>
              <w:rPr>
                <w:rFonts w:cs="Arial"/>
                <w:b w:val="0"/>
                <w:lang w:eastAsia="en-NZ"/>
              </w:rPr>
            </w:pPr>
            <w:r w:rsidRPr="00BE00C7">
              <w:rPr>
                <w:rFonts w:cs="Arial"/>
                <w:b w:val="0"/>
                <w:lang w:eastAsia="en-NZ"/>
              </w:rPr>
              <w:t>Where required by legislation there is an approved evacuation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Changes to the building layout two years ago created a need for the evacuation scheme to be reviewed. This was identified at the October 2019 surveillance audit. The service provider has submitted two applications to the NZ Fire and Emergency Services in the past 11 months. The first application was declined, and they are waiting for an outcome from the second application.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fire evacuation scheme has not been approved.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Obtain an approved fire evacuation scheme from the NZ Fire and Emergency Services.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1.4.7.4</w:t>
            </w:r>
          </w:p>
          <w:p w:rsidR="00EB7645" w:rsidRPr="00BE00C7" w:rsidP="00BE00C7">
            <w:pPr>
              <w:pStyle w:val="OutcomeDescription"/>
              <w:spacing w:before="120" w:after="120"/>
              <w:rPr>
                <w:rFonts w:cs="Arial"/>
                <w:b w:val="0"/>
                <w:lang w:eastAsia="en-NZ"/>
              </w:rPr>
            </w:pPr>
            <w:r w:rsidRPr="00BE00C7">
              <w:rPr>
                <w:rFonts w:cs="Arial"/>
                <w:b w:val="0"/>
                <w:lang w:eastAsia="en-NZ"/>
              </w:rPr>
              <w:t>Alternative energy and utility sources are available in the event of the main supplies failing.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and site inspection revealed that changes in staff roles and responsibilities have resulted in an oversight with some aspects of the emergency preparedness system. No one has been reviewing the amount of water stored on site. This does not meet the Ministry of Civil Defence and Emergency Management recommendations for the region, which is three litres of water for each resident per day for three days.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insufficient water stored on site for the number of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there is as least 764 litres of clean and accessible water on site.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3.1.3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clearly defined and documented infection control programme that is reviewed at least annually.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was documented, and the content and detail of the programme was appropriate to the size, complexity and degree of risks associated with the services provided. However, it has not been reviewed annually as required, the last review of the annual programme was completed in August 2019. On the days of the audit there was no planned date for the review. The interviewed responsible personnel were not aware that a review was required as per organisational policy and the required standards.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review of the infection control programme was overdue.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infection control programme is reviewed annually as per policy to meet the standard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2.2.3.4</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documented in sufficient detail to provide an accurate account of the indication for use, intervention, duration, its outcome, and shall include but is not limited to:</w:t>
              <w:br/>
              <w:t>(a) Details of the reasons for initiating the restraint, including the desired outcome;</w:t>
              <w:br/>
              <w:t>(b) Details of alternative interventions (including de-escalation techniques where applicable) that were attempted or considered prior to the use of restraint;</w:t>
              <w:br/>
              <w:t>(c) Details of any advocacy/support offered, provided or facilitated;</w:t>
              <w:br/>
              <w:t>(d) The outcome of the restraint;</w:t>
              <w:br/>
              <w:t>(e) Any injury to any person as a result of the use of restraint;</w:t>
              <w:br/>
              <w:t>(f) Observations and monitoring of the consumer during the restraint;</w:t>
              <w:br/>
              <w:t>(g) Comments resulting from the evaluation of the restraint.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understand the need to regularly observe and check residents when they have a restraint in place and maintain documents of these. Review of five restraint monitoring records and interview with the restraint coordinator revealed there were two different types of monitoring records in place which asked for different information to be recorded. The times for restraint going on were always documented but not the times that these were removed. Interventions or care provided whilst the restraint was on was not always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two different types of monitoring forms in use. Times on and off and interventions/cares provided when the restraint is in place were not being accurately and reliably recorded.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 records for restraint monitoring are completed each time a restraint is put on and that these provide an auditable record of care or other events that occurred when the restraint was in place.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69"/>
        <w:gridCol w:w="1280"/>
        <w:gridCol w:w="7601"/>
        <w:gridCol w:w="318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the annual and monthly plans for staff education and individual staff records reveal that every staff member is engaged with professional development and that they regularly attend in service education sessions. Staff expressed a high level of satisfaction with the staff training programme. The training coordinator collects, analyses and presents data on staff educational achievements every quarter. The overall rate of achievement is the highest it has ever been. The increase in staff knowledge and skills has resulted in an increase in care staff reporting changes in resident welfare and improvements to resident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number of care staff who have achieved level 4 of the National Certificate in Health and Wellbeing has increased significantly from 16 to 40 in the past 12 months. There is a concurrent increase in the percentage of staff who are engaged in a career pathway.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Rangiura Trust Board - Rangiura Rest Home &amp; Retirement Village</w:t>
    </w:r>
    <w:bookmarkEnd w:id="58"/>
    <w:r>
      <w:rPr>
        <w:rFonts w:cs="Arial"/>
        <w:sz w:val="16"/>
        <w:szCs w:val="20"/>
      </w:rPr>
      <w:tab/>
      <w:t xml:space="preserve">Date of Audit: </w:t>
    </w:r>
    <w:bookmarkStart w:id="59" w:name="AuditStartDate1"/>
    <w:r>
      <w:rPr>
        <w:rFonts w:cs="Arial"/>
        <w:sz w:val="16"/>
        <w:szCs w:val="20"/>
      </w:rPr>
      <w:t>16 September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