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Kaylex Care Limited - Eastcare Residential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Kaylex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Eastcare Residential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September 2020</w:t>
      </w:r>
      <w:bookmarkEnd w:id="7"/>
      <w:r w:rsidRPr="009418D4">
        <w:rPr>
          <w:rFonts w:cs="Arial"/>
        </w:rPr>
        <w:tab/>
        <w:t xml:space="preserve">End date: </w:t>
      </w:r>
      <w:bookmarkStart w:id="8" w:name="AuditEndDate"/>
      <w:r w:rsidR="00A4268A">
        <w:rPr>
          <w:rFonts w:cs="Arial"/>
        </w:rPr>
        <w:t>10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Eastcare Residential Home is one of two facilities owned by Kaylex Care Limited. Eastcare Residential Home provides rest home level care and secure dementia care for up to 48 residents.</w:t>
      </w:r>
    </w:p>
    <w:p w:rsidRPr="00A4268A">
      <w:pPr>
        <w:spacing w:before="240" w:line="276" w:lineRule="auto"/>
        <w:rPr>
          <w:rFonts w:eastAsia="Calibri"/>
        </w:rPr>
      </w:pPr>
      <w:r w:rsidRPr="00A4268A">
        <w:rPr>
          <w:rFonts w:eastAsia="Calibri"/>
        </w:rPr>
        <w:t>This surveillance audit was conducted against the Health and Disability Services Standards and the provider’s contract with the district health board. The audit process included the review of policies and procedures, a review of residents’ and staff records, observations and interviews with residents, staff, the facility manager and the general practitioner. Residents that were able to be interviewed were pleased with their care and services provided.</w:t>
      </w:r>
    </w:p>
    <w:p w:rsidRPr="00A4268A">
      <w:pPr>
        <w:spacing w:before="240" w:line="276" w:lineRule="auto"/>
        <w:rPr>
          <w:rFonts w:eastAsia="Calibri"/>
        </w:rPr>
      </w:pPr>
      <w:r w:rsidRPr="00A4268A">
        <w:rPr>
          <w:rFonts w:eastAsia="Calibri"/>
        </w:rPr>
        <w:t xml:space="preserve">The seven areas of noncompliance from the previous audit relating to long term care plans being completed within the required timeframes, care plans reflecting the current and individual needs of the residents, behaviour management care plan for those in the dementia unit and behaviour charts not being evaluated have been addressed. In addition, previous shortfalls related to the food servery cabinet in the rest home, chemicals not being stored appropriately and the suitability of plants in a dementia care garden have been also addressed. There is one new area identified for improvement from this audit related to the reassessment of a resident who is requiring an increased level of care.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provided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When complaints have been received, these are investigated, and the information related to these is recorded. Residents said they had been informed about the complaint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operator and facility manager are maintaining frequent and clear communication with all staff. There is always a qualified and experienced manager available. The quality and risk management systems are well established, and service delivery was being regularly monitored. Adverse events were being reliably reported and investigated to determine cause and prevention. People impacted by an adverse event were notified. The operator understands the obligation to make essential notifications and actions this when required. </w:t>
      </w:r>
    </w:p>
    <w:p w:rsidRPr="00A4268A">
      <w:pPr>
        <w:spacing w:before="240" w:line="276" w:lineRule="auto"/>
        <w:rPr>
          <w:rFonts w:eastAsia="Calibri"/>
        </w:rPr>
      </w:pPr>
      <w:r w:rsidRPr="00A4268A">
        <w:rPr>
          <w:rFonts w:eastAsia="Calibri"/>
        </w:rPr>
        <w:t>Staff were being recruited and managed effectively. Staff training in relevant subject areas has been occurring regularly. There were adequate number of skilled and experienced staff on site to meet the needs of each resident group.</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registered nurse. The registered nurse oversees the care provided to the residents. Senior care staff are on duty 24 hours, seven days a week. The facility manager and registered nurse are supported by a designated general practitioner, other health care professionals and care staff. On call arrangements for support from the registered nurse is in place. Shift handovers and communication sheets guide continuity of care. </w:t>
      </w:r>
    </w:p>
    <w:p w:rsidRPr="00A4268A" w:rsidP="00621629">
      <w:pPr>
        <w:spacing w:before="240" w:line="276" w:lineRule="auto"/>
        <w:rPr>
          <w:rFonts w:eastAsia="Calibri"/>
        </w:rPr>
      </w:pPr>
      <w:r w:rsidRPr="00A4268A">
        <w:rPr>
          <w:rFonts w:eastAsia="Calibri"/>
        </w:rPr>
        <w:t>Residents’ records reviewed showed that care plans are individualised based on a range of information. InterRAI re-assessments and care plan evaluations are completed as per the schedule developed. Residents able to be interviewed reported being informed and participating in their care planning and evaluation and were satisfied with the care provided.</w:t>
      </w:r>
    </w:p>
    <w:p w:rsidRPr="00A4268A" w:rsidP="00621629">
      <w:pPr>
        <w:spacing w:before="240" w:line="276" w:lineRule="auto"/>
        <w:rPr>
          <w:rFonts w:eastAsia="Calibri"/>
        </w:rPr>
      </w:pPr>
      <w:r w:rsidRPr="00A4268A">
        <w:rPr>
          <w:rFonts w:eastAsia="Calibri"/>
        </w:rPr>
        <w:t>The planned activity programme provides a variety of individual and group activities and residents can maintain links with the community. A vehicle is available to take residents to appointments and for outings.</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are consistently implemented using an electronic system. Medications are administered by senior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being catered for. Policies and procedures guide food service delivery supported by staff who have completed the required training. The kitchen was clean and tidy and meets the food control plan. Residents verified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was on display. All internal and external areas of the home were being maintained as safe and fit for purpose. There have been no structural changes to the building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were no restraint or enablers in use on the days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with data analysed, trended and results reported back to staff and management.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8"/>
        <w:gridCol w:w="1280"/>
        <w:gridCol w:w="104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and staff and resident interviews showed complaints are managed according to policy and Right 10 of the Code of Health and Disability Services Consumers’ Rights (the Code).  The complaints register showed three complaints received since the previous audit. The documentation attached to these confirmed investigations occurred and that these were resolved to the satisfaction of the people involved. A resident interviewed was fully informed about the complaints process and said they had no hesitation in raising concerns or lodging complaints. They had experience of their complaint being taken seriously and said that action was taken immediately to address the matter. There have been no complaints received by the DHB or the Office of the Health and Disability Commissioner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family communication records in the individual resident records reviewed verified that families were kept well informed about any changes to their relative’s status, were advised in a timely manner about any incidents or accidents and outcomes of regular and any urgent medical reviews.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have not been required. Staff from other countries have been able to interpret for one resident who is from their same source country.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this audit, there were 42 residents occupying the available maximum of 47 beds under the DHB ARC contract. The organisation also has DHB agreements for short stay/respite service and day attendance for people diagnosed with dementia.  Fifteen of the residents on site were assessed as requiring rest home level care and 27 people, across two separate dementia wings, required secure care. One of the rest home residents was funded by the Accident Compensation Commission. </w:t>
            </w:r>
          </w:p>
          <w:p w:rsidR="00EB7645" w:rsidRPr="00BE00C7" w:rsidP="00BE00C7">
            <w:pPr>
              <w:pStyle w:val="OutcomeDescription"/>
              <w:spacing w:before="120" w:after="120"/>
              <w:rPr>
                <w:rFonts w:cs="Arial"/>
                <w:b w:val="0"/>
                <w:lang w:eastAsia="en-NZ"/>
              </w:rPr>
            </w:pPr>
            <w:r w:rsidRPr="00BE00C7">
              <w:rPr>
                <w:rFonts w:cs="Arial"/>
                <w:b w:val="0"/>
                <w:lang w:eastAsia="en-NZ"/>
              </w:rPr>
              <w:t>There is a new facility manager. This person was initially employed as a receptionist/administrator in July 2019 and was appointed as the facility manager two months later in September. Although they have no prior experience in aged care or the health sector, this person is skilled in people management and quality and risk management systems. They are fully supported by the directors and company managers, two of whom are registered nurses. All clinical matters are managed by the onsite fulltime clinical manager. The company (Kaylex Care Ltd) has an overarching strategic/business and risk plan for the two facilities it operates, and each facility has a unique annual business plan. Review of the 2019/20 plan for Eastcare Residential Home showed that goals within it are monitored and updated by the company’s senior management team. This team comprises the two owners, a general manager and an operations manager. The facility manager reports regularly to all members of the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quality and risk management system which includes policies and procedures. These are controlled and updated two yearly or as required to meet known safe practice. Residents said that they were consulted about any proposed changes in the service and kept informed at their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such as incidents/accidents and infections were analysed and collated by the RN every month. Statistical and narrative data was displayed in the staff room, any events were communicated at shift handover, and unwanted trends discussed at bi-monthly staff meetings. Documented evidence of corrective actions was sighted on incident/accident reports, on the internal audit tools where a deficit or gap is identified, in the hazards register, and in complaints documentation. The service also completes quality improvement plans when service deficiencies or opportunities to improve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annual quality plan, business plan and associated emergency plans, document actual and potential risk to the business, service delivery, staff and/or visitors’ health and safety. Health and safety policies were compliant with the current legislation. Environmental risks were being communicated to visitors, staff and consumers as required through notices, or verbally, depending on the nature of the risk.  For example, temperature checks were taken before entry to the home and requests to sanitise hands and don masks were happening for every visitor and staff. Review of staff meeting minutes showed that health and safety is discussed at least every two months. Any health and safety matters that arise in between time were written into the staff communications book.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well known and established processes for the reporting, recording, investigation and review of all incidents and accidents. Review of onsite documents and interviews with staff and management confirmed that incidents were discussed at staff meetings. Adverse event data is collated and analysed monthly by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number of events in each of the three areas in the home and a narrative summary were on display in the staff room. Staff confirmed that they are kept informed about incident and accident trends.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and review of incident data on the days of audit confirmed that incidents are communicated at shift handover, and trends are discussed at staff meetings. Each resident’s care record contained a summary of incidents which facilitates a ready review of risks. </w:t>
            </w:r>
          </w:p>
          <w:p w:rsidR="00EB7645" w:rsidRPr="00BE00C7" w:rsidP="00BE00C7">
            <w:pPr>
              <w:pStyle w:val="OutcomeDescription"/>
              <w:spacing w:before="120" w:after="120"/>
              <w:rPr>
                <w:rFonts w:cs="Arial"/>
                <w:b w:val="0"/>
                <w:lang w:eastAsia="en-NZ"/>
              </w:rPr>
            </w:pPr>
            <w:r w:rsidRPr="00BE00C7">
              <w:rPr>
                <w:rFonts w:cs="Arial"/>
                <w:b w:val="0"/>
                <w:lang w:eastAsia="en-NZ"/>
              </w:rPr>
              <w:t>The owner is responsible for essential notifications and reporting and understood the statutory and regulatory obligations. There have been no incidents requiring notification to the DHB or Ministry of Health.  The owner/director confirmed by telephone that appointment of the new facility manager and the RN were reported to the DHB and MoH.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A new caregiver reported that the orientation process prepared them well for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Delivery of this was interrupted during the Covid-19 level 4 lockdown but the following training has occurred: Covid-19 precautions; handwashing; medication competencies; and mandatory training, which include: emergency procedures; health and safety; managing challenging behaviours; communication; and infection control. </w:t>
            </w:r>
          </w:p>
          <w:p w:rsidR="00EB7645" w:rsidRPr="00BE00C7" w:rsidP="00BE00C7">
            <w:pPr>
              <w:pStyle w:val="OutcomeDescription"/>
              <w:spacing w:before="120" w:after="120"/>
              <w:rPr>
                <w:rFonts w:cs="Arial"/>
                <w:b w:val="0"/>
                <w:lang w:eastAsia="en-NZ"/>
              </w:rPr>
            </w:pPr>
            <w:r w:rsidRPr="00BE00C7">
              <w:rPr>
                <w:rFonts w:cs="Arial"/>
                <w:b w:val="0"/>
                <w:lang w:eastAsia="en-NZ"/>
              </w:rPr>
              <w:t>All care staff have either completed or commenced a New Zealand Qualification Authority education programme to meet the requirements of the provider’s agreement with the DHB. Of the 19 care staff, five have completed level 4, eight have completed level 3, four carers are newly employed and the other two have been in the role for more than ten years and have completed previous educational achievements.</w:t>
            </w:r>
          </w:p>
          <w:p w:rsidR="00EB7645" w:rsidRPr="00BE00C7" w:rsidP="00BE00C7">
            <w:pPr>
              <w:pStyle w:val="OutcomeDescription"/>
              <w:spacing w:before="120" w:after="120"/>
              <w:rPr>
                <w:rFonts w:cs="Arial"/>
                <w:b w:val="0"/>
                <w:lang w:eastAsia="en-NZ"/>
              </w:rPr>
            </w:pPr>
            <w:r w:rsidRPr="00BE00C7">
              <w:rPr>
                <w:rFonts w:cs="Arial"/>
                <w:b w:val="0"/>
                <w:lang w:eastAsia="en-NZ"/>
              </w:rPr>
              <w:t>All staff working in the dementia care areas have either completed or are enrolled to complete the required dementia care unit standards 23920-2392.</w:t>
            </w:r>
          </w:p>
          <w:p w:rsidR="00EB7645" w:rsidRPr="00BE00C7" w:rsidP="00BE00C7">
            <w:pPr>
              <w:pStyle w:val="OutcomeDescription"/>
              <w:spacing w:before="120" w:after="120"/>
              <w:rPr>
                <w:rFonts w:cs="Arial"/>
                <w:b w:val="0"/>
                <w:lang w:eastAsia="en-NZ"/>
              </w:rPr>
            </w:pPr>
            <w:r w:rsidRPr="00BE00C7">
              <w:rPr>
                <w:rFonts w:cs="Arial"/>
                <w:b w:val="0"/>
                <w:lang w:eastAsia="en-NZ"/>
              </w:rPr>
              <w:t>The sample of staff records reviewed showed attendance at ongoing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process for determining staffing levels and skill mixes to provide safe service delivery, 24 hours a day, seven days a week (24/7) is documented and implemented. The facility adjusts staffing levels to meet the changing needs of residents. Care staff reported there had been staff shortages during the Covid-19 level 4 lockdown because recruitment could not occur but that this had been addressed and there were now adequate staff available on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confirmed adequate staff cover has been provided, with absent staff replaced by existing staff doing extra hours. </w:t>
            </w:r>
          </w:p>
          <w:p w:rsidR="00EB7645" w:rsidRPr="00BE00C7" w:rsidP="00BE00C7">
            <w:pPr>
              <w:pStyle w:val="OutcomeDescription"/>
              <w:spacing w:before="120" w:after="120"/>
              <w:rPr>
                <w:rFonts w:cs="Arial"/>
                <w:b w:val="0"/>
                <w:lang w:eastAsia="en-NZ"/>
              </w:rPr>
            </w:pPr>
            <w:r w:rsidRPr="00BE00C7">
              <w:rPr>
                <w:rFonts w:cs="Arial"/>
                <w:b w:val="0"/>
                <w:lang w:eastAsia="en-NZ"/>
              </w:rPr>
              <w:t>All the care staff on duty have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policy was current and identified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system for medicine management using an electronic system was observed on the day of the audit. The staff observed demonstrated good knowledge and had a clear understanding of their roles and responsibilities related to each stage of medicine management. All staff who administer medicines are competent to perform the function they manage. Annual drug administration competencies are completed, and a record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the RN against the prescription. All medications were within current use by dates. Clinical pharmacist input is provided on request. The GP interviewed stated there have been no issues requiring her input since the electronic system was implemented. Any controlled drugs are checked prior to administration and are prepacked and checked by the RN. There is a locked medication room. </w:t>
            </w:r>
          </w:p>
          <w:p w:rsidR="00EB7645" w:rsidRPr="00BE00C7" w:rsidP="00BE00C7">
            <w:pPr>
              <w:pStyle w:val="OutcomeDescription"/>
              <w:spacing w:before="120" w:after="120"/>
              <w:rPr>
                <w:rFonts w:cs="Arial"/>
                <w:b w:val="0"/>
                <w:lang w:eastAsia="en-NZ"/>
              </w:rPr>
            </w:pPr>
            <w:r w:rsidRPr="00BE00C7">
              <w:rPr>
                <w:rFonts w:cs="Arial"/>
                <w:b w:val="0"/>
                <w:lang w:eastAsia="en-NZ"/>
              </w:rPr>
              <w:t>Electronic prescribing includes the name of the GP, the date of the last medication review, photo identification and the date when the photograph was taken of the resident. Any allergies/sensitivities are clearly documented in red ink on the profile page or ‘nil known’ is documented to verify the resident/family has been asked about the allergies and/or sensitivities.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The RN interviewed completes weekly medication administration audits and routine internal audits as per the audit schedule six monthly. The records of medication fridge monitoring are maintained and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Any medication errors are reported to the RN and recorded on an incident form. The resident and/or the EPOA are advised. There is a process to analyse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by a cook on site. The cook interviewed explained his role and responsibilities. The food service is in line with Telarc requirements and the food safety inspection certificate was sighted with an expiry date of 11 January 2021. All aspects of food procurement, production, preparation, storage, transportation, delivery and disposal comply with current legislation and guidelines for older people. Food temperatures and fridge/freezers are monitored daily. The cook and kitchen hands have undertaken safe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profile is undertaken for each resident on admission to the facility and a dietary profile developed. The personal preferences, any special dietary needs are identified and communicated to the cook and accommodated.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enjoying their lunchtime meal. Residents were assisted by the care staff if needed with their meals. Residents confirmed they were happy with the meals provided.</w:t>
            </w:r>
          </w:p>
          <w:p w:rsidR="00EB7645" w:rsidRPr="00BE00C7" w:rsidP="00BE00C7">
            <w:pPr>
              <w:pStyle w:val="OutcomeDescription"/>
              <w:spacing w:before="120" w:after="120"/>
              <w:rPr>
                <w:rFonts w:cs="Arial"/>
                <w:b w:val="0"/>
                <w:lang w:eastAsia="en-NZ"/>
              </w:rPr>
            </w:pPr>
            <w:r w:rsidRPr="00BE00C7">
              <w:rPr>
                <w:rFonts w:cs="Arial"/>
                <w:b w:val="0"/>
                <w:lang w:eastAsia="en-NZ"/>
              </w:rPr>
              <w:t>A previous noncompliance related to the surface of the food servery cabinet in the rest home dining room was in poor condition and posed an infection control risk. This has been fully replaced, as sighted at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reviewed evidenced that records are resident focused, integrated and that continuity of care is promoted. The previous noncompliance related to the long term care plans not reflecting the current and individual needs of the residents and not all residents in the dementia unit having a behavioural management care plan that identified triggers and related interventions of the resident presenting with challenging behaviours. The sample of records reviewed evidenced that both of the areas for improvement have been appropriately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were randomly selected to review. The care plans reviewed were developed and implemented from the initial nursing assessment and initial admission information provided by the NASC service or referrer. The newly appointed RN is qualified to complete interRAI assessments. A RN who covers two facilities has been completing the interRAI assessments prior to this staff appointment. The long term and short term care plans reviewed are currently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equipment and resources was available appropriate to the two levels of care provided at Eastcare in accordance with meeting the resident’s needs as per the DHB agreement requirements for rest home and dementia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who has been in the role for one year and is currently enrolled and is completing the Level 4 diversional therapy New Zealand Qualification Authority education available. The programmes are developed for the rest home and the two secure dementia care services and displayed in each service area.  Outings and links with the community are encouraged that are meaningful to the residents. An assessment ‘My big story’ and an activities questionnaire are completed by residents and/or family on admission. The activities co-ordinator from this information develops an individualised activities plan for each resident.  A variety of activities is provided for residents in both of the services. The 24 hour activities chart which was a previous shortfall has now been addressed. These were implemented and completed in the dementia service residents’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records were reviewed and care plans sighted. Progress notes were completed in both the nursing and medical records. Care plan reviews and interRAI reassessments are planned six monthly as observed and discussed with the RN. Short term care plans are developed if and when an issue arises. The challenging behaviours interventions and outcomes documented in the dementia care resident’s records reviewed, evidence that the RN has made the appropriate evaluations. These are signed and dated accordingly. This was a previous noncompliance which has been fully addressed. An area identified for improvement relates to a resident who is observed to be requiring higher level cares during this audit.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previous noncompliance related to residents’ access to toxic substances. This has been rectified. Cleaning chemicals, soaps and other substances were securely stored.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using PPE (masks, gloves and aprons) on the day of audit. They confirmed understanding of correct procedures for donning and doffing and said they changed in and out of uniforms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December 2020)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Visual inspection, records reviewed and interviews with one of the operators who was acting as maintenance staff confirmed that planned and reactive repairs and maintenance is ongoing.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noncompliance related to a noxious weed in the gardens outside one of the secure wings is now resolved. These plants were removed and maintenance staff have been diligent with ensuring the grounds are safe.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and respiratory tract. The RN interviewed is the infection prevention and control coordinator and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Results are displayed. Graphs are produced that identify any trends for the current year and comparisons against previous years and this is reported to staff and the management team. Benchmarking does not currently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rates for the facility remain low despite several residents who have frequent infections due to current co-morbidities. Care plans evidence appropriate interventions and evaluations. An infection summary was in all residents; records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was maintaining its philosophy and practice of no restraint. There were no restraints or enablers in use on the day of the audit. The service uses alternatives to restraint such as low-low beds or fall out chairs.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education in understanding and preventing restraint and safe use of enablers is ongoing.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34"/>
        <w:gridCol w:w="1280"/>
        <w:gridCol w:w="5188"/>
        <w:gridCol w:w="4668"/>
        <w:gridCol w:w="16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sample of residents’ records reviewed from both services were current and the individual care plans reflected the individual resident’s needs appropriately. An observation was made of an immobile resident receiving cares provided by two care staff. This was discussed with the registered nurse (recently employed) who confirmed that the resident’s progress was different to that expected but that the resident’s condition had been stable. The resident’s individual record was reviewed, and significant changes had been recorded but another referral had not yet been arranged.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who has been at this facility for three years was re-assessed on the 15 May 2020; however, the outcome is not clearly documented. The interRAI and the updated care plan reflect that the resident’s needs have significantly changed since the last assessment. The resident now requires two care staff with all cares and mobilisation. The needs of the resident are being effectively managed by the care staff; however, a referral for reassessment is needed for these higher level care needs to be fully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referral for a reassessment by the needs assessment service co-ordinator is arranged as soon as possible for a resident now receiving a higher level of care due to increased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Kaylex Care Limited - Eastcare Residential Home</w:t>
    </w:r>
    <w:bookmarkEnd w:id="58"/>
    <w:r>
      <w:rPr>
        <w:rFonts w:cs="Arial"/>
        <w:sz w:val="16"/>
        <w:szCs w:val="20"/>
      </w:rPr>
      <w:tab/>
      <w:t xml:space="preserve">Date of Audit: </w:t>
    </w:r>
    <w:bookmarkStart w:id="59" w:name="AuditStartDate1"/>
    <w:r>
      <w:rPr>
        <w:rFonts w:cs="Arial"/>
        <w:sz w:val="16"/>
        <w:szCs w:val="20"/>
      </w:rPr>
      <w:t>10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