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Charles Upham Retirment Village Limited - Charles Upham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Charles Upham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Charles Upham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September 2020</w:t>
      </w:r>
      <w:bookmarkEnd w:id="7"/>
      <w:r w:rsidRPr="009418D4">
        <w:rPr>
          <w:rFonts w:cs="Arial"/>
        </w:rPr>
        <w:tab/>
        <w:t xml:space="preserve">End date: </w:t>
      </w:r>
      <w:bookmarkStart w:id="8" w:name="AuditEndDate"/>
      <w:r w:rsidR="00A4268A">
        <w:rPr>
          <w:rFonts w:cs="Arial"/>
        </w:rPr>
        <w:t>2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Charles Upham is part of the Ryman Group of retirement villages and aged care facilities.  The service provides rest home, hospital, and dementia level care for up to 122 residents.  On the days of the audit there were 116 residents receiving care in the care centre including 3 residents at rest home level in the serviced apartments.  The village manager (non-clinical) had been in the role for fifteen months and is supported by an assistant to the manager, and a clinical manager (registered nurse).  The management team are supported by a regional manager and support staff at head office.  The resident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 xml:space="preserve">This audit identified that the service has fully met all standards. </w:t>
      </w:r>
    </w:p>
    <w:p w:rsidRPr="00A4268A">
      <w:pPr>
        <w:spacing w:before="240" w:line="276" w:lineRule="auto"/>
        <w:rPr>
          <w:rFonts w:eastAsia="Calibri"/>
        </w:rPr>
      </w:pPr>
      <w:r w:rsidRPr="00A4268A">
        <w:rPr>
          <w:rFonts w:eastAsia="Calibri"/>
        </w:rPr>
        <w:t xml:space="preserve">Continuous improvements were identified around data analysis, reduction of weight loss, advance care planning and restraint minimisation.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complies with the Health and Disability Commissioner’s (HDC)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appropriate to the needs of the residents.  A village manager, assistant to the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are in place, which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seven days a week.  The resident and families reported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information/welcome pack that includes information on each level of care.  Registered nurses are responsible for initial assessments, risk assessments, interRAI assessments and development of care plans in consultation with the resident/relatives.  Care plans demonstrate service integration, are individualised and evaluated six-monthly.  The general practitioner or the nurse practitioner reviews residents on admission and at least three-monthly.    </w:t>
      </w:r>
    </w:p>
    <w:p w:rsidRPr="00A4268A" w:rsidP="00621629">
      <w:pPr>
        <w:spacing w:before="240" w:line="276" w:lineRule="auto"/>
        <w:rPr>
          <w:rFonts w:eastAsia="Calibri"/>
        </w:rPr>
      </w:pPr>
      <w:r w:rsidRPr="00A4268A">
        <w:rPr>
          <w:rFonts w:eastAsia="Calibri"/>
        </w:rPr>
        <w:t xml:space="preserve">The activity team implement the Engage activity programme in the rest home/hospital and dementia units that ensures the abilities and recreational needs of the residents is varied, interesting and involves entertainers, outings and community visitors.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There are three-monthly GP medication reviews.  </w:t>
      </w:r>
    </w:p>
    <w:p w:rsidRPr="00A4268A" w:rsidP="00621629">
      <w:pPr>
        <w:spacing w:before="240" w:line="276" w:lineRule="auto"/>
        <w:rPr>
          <w:rFonts w:eastAsia="Calibri"/>
        </w:rPr>
      </w:pPr>
      <w:r w:rsidRPr="00A4268A">
        <w:rPr>
          <w:rFonts w:eastAsia="Calibri"/>
        </w:rPr>
        <w:t xml:space="preserve">Meals are prepared on site.  The project delicious menu is designed by a dietitian at organisational level and provides meal options including gluten free and vegetarian.  Individual and special dietary needs are catered for.  There are nutritious snacks available 24 hours in the dementia unit.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always a first aider on site.  The environment is warm and comfortable.  Housekeeping staff maintain a clean and tidy environment.  All linen and personal clothing is laundered on 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currently had no residents requiring the use of restraint or enablers.  The restraint coordinator maintains a register.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and procedures to guide staff.  The infection prevention and control team hold integrated meetings with the health and safety team.  The infection prevention and control register is used to document all infections.  A monthly infection control report is completed and forwarded to head office for analysis and benchmarking.  A six-monthly comparative summary is completed.  The service has had two outbreaks in 2019.  Covid-19 lockdown was well managed, and precautions remain in place as per current guidelines.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7"/>
        <w:gridCol w:w="1280"/>
        <w:gridCol w:w="96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assistant to the manager, clinical manager/RN, regional manager, and 29 clinical staff (14 caregivers who work across the facility, seven registered nurses (RNs), four unit coordinators, one recreation officer and three diversional therapist) confirmed their familiarity with the Code.  Non-clinical staff including one laundry staff, one lead chef, one housekeeper and a maintenance person were also familiar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and are included in the admission agreement.  General consents including the consent for teleconference with medical and allied health professionals were sighted in the 11 files reviewed (four hospital level, four rest home including one resident in the serviced apartments and one resident under individual funding and three dementia care files).  Specific consents were viewed for wound photographs and influenza vaccines.  Caregivers and registered nurses (RN) interviewed, confirmed verbal consent is obtained when delivering care.  Training was provided on informed consent in February 2019.  </w:t>
            </w:r>
          </w:p>
          <w:p w:rsidR="00EB7645" w:rsidRPr="00BE00C7" w:rsidP="00BE00C7">
            <w:pPr>
              <w:pStyle w:val="OutcomeDescription"/>
              <w:spacing w:before="120" w:after="120"/>
              <w:rPr>
                <w:rFonts w:cs="Arial"/>
                <w:b w:val="0"/>
                <w:lang w:eastAsia="en-NZ"/>
              </w:rPr>
            </w:pPr>
            <w:r w:rsidRPr="00BE00C7">
              <w:rPr>
                <w:rFonts w:cs="Arial"/>
                <w:b w:val="0"/>
                <w:lang w:eastAsia="en-NZ"/>
              </w:rPr>
              <w:t>Resuscitation status were signed by the competent resident and witnessed by the general practitioner (GP).  Where the resident is unable to make a decision, the GP makes a medically indicated not for resuscitation in consultation with the enduring power of attorney (EPOA).  The EPOA for the three-dementia level of care residents had been activated.  Copies of EPOA and activation status are available on the residents’ files.  An education session is held around resuscitation, advance care planning, and advance care directives, held in May 2019 and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had been completed by the competent resident and medical care guidance had been completed by the EPOA in 94% of resident files.  The service has been awarded a continuous improvement rating in recognition of its commitment to ensuring advance care plans were in place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for 10 long-term resident files under the Aged Residential Related Contract (ARCC) had been signed within a timely manner.  There was a written agreement for the resident under individual funding.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on entry to the service.  Residents interviewed confirmed they are aware of their right to access independent advocacy services.  Discussions with relatives confirmed the service provided opportunities for the family/EPOA to be involved in decisions.  The resident files included information on residents’ family/whānau and chosen social networks.  The caregivers and registered nurses interviewed could describe instances where an advocate would be required, and were aware of where this information is 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as current Covid-19 regulations allow.  Visitors were observed coming and going during the audit.  The activities programmes included opportunities to attend events outside of the facility including activities of daily living, such as shopping.  A range of entertainers, schools and kindergartens visit the facility as Covid-19 regulations allow, there are regular van outings to places of interest.  There is an on-site hairdresser available.  Residents are assisted to meet responsibilities and obligations as citizens, for example, voting and completion of the census.  Residents are supported and encouraged to remain involved in the community and external groups.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reception.  Information about complaints is provided on admission.  Interviews with the resident and relatives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Eleven complaints (five verbal and six written) have been lodged in 2019-20 (year-to-date).  Verbal and written complaints are documented.  All complaints had a noted investigation, timelines determined by HDC were met, and corrective actions (where indicated) were actioned.  All complaints were documented as resolved.  Complaints are linked to the quality and risk management system.  The service has reviewed the complaints for trends, however there were no identifiable trends seen.  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that includes information about the Code and the nationwide advocacy service is given to prospective residents and families.  There is the opportunity to discuss aspects of the Code during the admission process.  Interviews with one resident (hospital level) and ten relatives (four rest home, two hospital, and four special care unit) confirmed that the services being provided are in line with the Code, and that information around the Code had been provided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Large print posters of the Code and advocacy information are displayed throughout the facility.  The village manager or the clinical manager discusses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A tour of the premises confirmed there were areas that support personal privacy for residents.  During the audit, staff were observed to be respectful of residents’ privacy by knocking on doors prior to entering resident rooms.  Staff could describe definitions around abuse and neglect that aligned with policy.  Residents and family members interviewed confirmed that staff promote the residents’ independence wherever possible and that residents’ choices are encouraged.  Staff have undertaken annual training on abuse and neglect during June 2019 with very good attendance.  Caregivers interviewed showed a good understanding of the different types of abuse and neglect and signs and symptoms residents may present.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Links are established with Te Rūnanga o Ngāi Tahu who are available for residents and as a support to the village for any Māori related advice.  Tuahiwi Marae welcome staff of Charles Upham for an annual marae visit.  On the day of the audit, there was one Māori resident who did not identify with their culture.  Team meetings document cultural considerations including Māori language week in TeamRyman meetings.  A recent quality initiative is to enhance and strengthen the image of the Māori culture, learning about the culture and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The resident and relatives interviewed reported that they were satisfied that the residents’ cultural and individual values were being met.  Information gathered during assessment including residents’ cultural beliefs and values is used to develop a care plan, which the resident (if appropriate) and/or their family/whānau are asked to consult on.  Discussions with staff confirmed that they are aware of the need to respond to the cultural needs of the residents.  All residents at the facility were able to speak and understand English.  Cultural awareness, and resident values training was last held in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Full TeamRyman meetings occur monthly and include discussions on professional boundaries and concerns as they arise.  Management provided guidelines and mentoring for specific situations.  Interviews with the managers, registered nurses and caregivers confirmed an awareness of professional boundaries.  Caregivers could discuss professional boundaries in respect of gifts.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policies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seven days a week, 24 hours a day.  The service receives support from the district health board which includes visits from specialists (e.g., wound care, mental health) and staff education and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worked to improve services for residents and has implemented a number of quality initiatives as a result of satisfaction surveys, and monthly analysis of quality data.  Continuous improvements have been awarded for addressing unintentional weight loss in the special care unit (SCU), the analysis of quality data, restraint minimisation and advance care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in their responsibility around open disclosure.  Staff report all incidents and accidents to the registered nurses who then enter details into the electronic system.  Staff are required to record family notification when entering an incident into the system.  Incidents reviewed met this requirement. Relatives interviewed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Upham retirement village provides care for up to 122 residents at hospital, rest home and dementia level care in the care centre and up to 30 residents at rest home level care in serviced apartments.  On the day of audit there were 116 residents in total, including three rest home level of care residents in the serviced apartments.  There are two double rooms who have married couples sharing these.  One rest home level resident was on an individual funding (IF) contract.  All other residents were on the age residential care contract (ARRC).  </w:t>
            </w:r>
          </w:p>
          <w:p w:rsidR="00EB7645" w:rsidRPr="00BE00C7" w:rsidP="00BE00C7">
            <w:pPr>
              <w:pStyle w:val="OutcomeDescription"/>
              <w:spacing w:before="120" w:after="120"/>
              <w:rPr>
                <w:rFonts w:cs="Arial"/>
                <w:b w:val="0"/>
                <w:lang w:eastAsia="en-NZ"/>
              </w:rPr>
            </w:pPr>
            <w:r w:rsidRPr="00BE00C7">
              <w:rPr>
                <w:rFonts w:cs="Arial"/>
                <w:b w:val="0"/>
                <w:lang w:eastAsia="en-NZ"/>
              </w:rPr>
              <w:t>All rooms in the rest home (level one) and the hospital (level two) are dual-purpose.  There were 39 (of 40) residents on level one – 38 rest home level care and one hospital level care by choice.  Hospital level care is provided, with RN entry in progress notes daily.  The hospital RN attends to this resident when no RN available in the RH.  Physio is involved for this resident.  No equipment is required, and the room is large enough to provide adequate room for cares.  There is a married couple sharing a room (both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level two (hospital) there were 40 (of 40) residents; 39 hospital and one rest home level resident (married couple one rest home and one hospital sharing a double room at their request).  The double rooms have been verified during previous audits.  </w:t>
            </w:r>
          </w:p>
          <w:p w:rsidR="00EB7645" w:rsidRPr="00BE00C7" w:rsidP="00BE00C7">
            <w:pPr>
              <w:pStyle w:val="OutcomeDescription"/>
              <w:spacing w:before="120" w:after="120"/>
              <w:rPr>
                <w:rFonts w:cs="Arial"/>
                <w:b w:val="0"/>
                <w:lang w:eastAsia="en-NZ"/>
              </w:rPr>
            </w:pPr>
            <w:r w:rsidRPr="00BE00C7">
              <w:rPr>
                <w:rFonts w:cs="Arial"/>
                <w:b w:val="0"/>
                <w:lang w:eastAsia="en-NZ"/>
              </w:rPr>
              <w:t>The ground floor also has two secure 20-bed special care unit (dementia care), there were 36 residents on the day of the audit.  At the time of the audit the two units, which adjoin and have connecting doors.  The units are staffed and operated as two.</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2020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at Charles Upham is non-clinical and has been in the role for fifteen months.  She is supported by a clinical manager/registered nurse (RN) who has been in the role since May 2018 and has experience in age care.  The assistant to the manager (non-clinical) has been in her role for four years and supports both the village and clinical managers in their roles.  There are experienced unit coordinators in each area (registered nurses in the rest home, hospital and dementia units and an enrolled nurse in the serviced apartments).  The team are also supported by a regional manager who was present during the audit.  Ryman provide ongoing training for managers and clinical managers.  The village manager has not yet completed training due to Covid-19; however, this is planned for October 2020.  The clinical manager has completed in excess of eight hours education in the last year including Ryman leadership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temporary absence of the facility manager, the clinical manager, supported by the assistant to the manager, would cover the manager position.  The regional manager would be available for support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Charles Upham has a well-established quality and risk management system that is directed by Ryman Christchurch (head office).  Quality and risk performance are reported at the weekly management meetings and also to the organisation's management team.  Quality data, quality initiatives and corrective action plans are discussed at the monthly full facility meetings, clinical meetings and other facility meetings held across the site.  Meeting minutes are made available to staff.  Discussions with the managers and staff and review of management and staff meeting minutes, demonstrated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the health and disability standards.  Policies are reviewed at a national level and are forwarded through to a service level.  They are communicated to staff, evidenced in staff meeting minutes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 of service delivery in the facility and across the organisation.  There is an internal auditing programme set out by head office.  The facility manager and assistant to the manger completes or delegates staff to complete non-clinical audits and the clinical manager or registered nurses/unit coordinators complete clinical audits.  The service develops a corrective action plan for any audit result below 90%.  A quality improvement plan (QIP) register is maintained.  Corrective actions are signed off when completed and audit results are communicated at the management and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processes to collect, analyse and evaluate data including resident and staff accident/incidents, hazards, infections, complaints surveys and audit outcomes, which is utilised for service improvements.  Quality improvement plans have been developed for areas identified for improvement including (but not limited to); improving communication between the maintenance, gardening team with the residents, health and safety audit findings, and low staff satisfaction survey results in the special care unit (SCU).  Corrective action plans have been implemented and demonstrated ongoing improvements in these areas, which are signed off when completed and discussed at meetings demonstrating progress towards closing the corrective actions.  The service has exceeded the standard around quality data analysis.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Care centre resident survey results for 2020 showed overall satisfaction, with an average score of 4.65 out of 5.0 (up 0.15) from 2019.  The results were classified into rest home and hospital responses.  The results identified there was a decrease in satisfaction in the hospital responses around activities, food services and housekeeping.  QIPs remain ongoing with the corrective action plans updated regularly demonstrating ongoing progress.  Corrective action plans include the chef visiting the hospital unit monthly to discuss concerns and menu options.  Meetings were held with staff and the activities team and the residents.  Activities are discussed at resident meetings and the residents are providing feedback and progress is ongoing and evaluated regularly.  Communication has improved between the management, residents and housekeeping staff following meetings around sharing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 survey was held in 2019 and showed overall satisfaction, with an average score of 4.28 out of 5.0, up 0.22 from 2018.  The 2020 relative survey out for relatives had just been completed at the time of the audit and results are pending.  All surveys completed are analysed and compared with the previous year’s results.  QIPs are developed for areas of lower satisfaction.  The results and QIPs are discussed at all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committee (the maintenance person, the head gardener, one member of housekeeping, one caregiver, and the administrator).  A health and safety representative interviewed (administrator) has completed levels 1 and 2 and is booked for level 4 in October.  Ryman have initiated ‘step back’ cards that are completed following every incident to analyse and identify the root cause.  The noticeboard keeps staff informed on health and safety meetings.  Head office sends out health and safety bulletins regularly and alerts for staff information and awareness.  The hazard register is reviewed, and new hazards are discussed at the monthly meetings.  Current initiatives include promoting incident reporting and ‘step back’ cards are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falls prevention strategies are in place for residents identified at risk of falls.  The service contract a physiotherapist 20 hours a week who is supported by an employed physiotherapy assistant to carry out exercises and walks as directed by the physiotherapist.  Caregivers interviewed could describe falls prevention strategies as documented in myRyman care plans.  Falls statistics remain under the Ryman benchmark.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Neurological observations were completed for all unwitnessed falls and where there was the potential for a head injury.  The incident reports reviewed document opportunities to minimise future risks.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electronic incident/accident forms for the facility identified that all were fully completed and include timely follow-up by a registered nurse.  The managers are involved in the adverse event process with the regular management meetings and informal meetings,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were able to identify significant events that would be reported to statutory authorities, this has included notification of the outbreaks in 2019.  Reports are sent to head office, who also advise on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Fourteen staff files reviewed; (one clinical manager, two unit coordinators, two registered nurses, four caregivers, two diversional therapists, one lead chef, one assistant to the cook, and one housekeeper) included a signed contract, job description, police checks, induction, application form and reference checks.  All files reviewed included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nurses’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orientation/induction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Each month the service is informed, via TeamRyman regarding what education is to be provided as well as any resources needed.  There is an attendance register for each training session and an individual staff member record of training.  Registered nurses are supported to maintain their professional competency.  Seventeen registered nurses and one enrolled nurse have completed their interRAI training.  Registered nurses participate in two monthly RN/EN journal club which provides clinical updates and guidance.  Coordinators are supported to attend the Ryman leadership training.  All staff have completed the core competencies relevant to their role, with 142 staff completing the handwashing competency in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33 staff who work in the dementia unit, 26 have completed the dementia unit standards, and seven are in the process of completing the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18 caregivers with level 4 NZQA, three with level 3 and two with level 2 NZQA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The service 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who works Monday to Friday, the assistant to the manager who works Monday to Friday and a clinical manager who works Tuesday to Saturday.  The clinical manager, assistant to the manager and village manager are in addition to the rostered staffing.  </w:t>
            </w:r>
          </w:p>
          <w:p w:rsidR="00EB7645" w:rsidRPr="00BE00C7" w:rsidP="00BE00C7">
            <w:pPr>
              <w:pStyle w:val="OutcomeDescription"/>
              <w:spacing w:before="120" w:after="120"/>
              <w:rPr>
                <w:rFonts w:cs="Arial"/>
                <w:b w:val="0"/>
                <w:lang w:eastAsia="en-NZ"/>
              </w:rPr>
            </w:pPr>
            <w:r w:rsidRPr="00BE00C7">
              <w:rPr>
                <w:rFonts w:cs="Arial"/>
                <w:b w:val="0"/>
                <w:lang w:eastAsia="en-NZ"/>
              </w:rPr>
              <w:t>There is a unit coordinator for each unit and are included as part of the rosters.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in the special care unit (36 residents) on the day of audit include the designated unit coordinator (registered nurse) from Sunday to Thursday, and a registered nurse Friday and Saturday from 7.30am to 4pm.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Care unit one (18 residents) morning shift:  1x 7am to 3.30pm and 1x 7am to 1.30 pm and a lounge assistant from 9am to 4pm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1x 3pm to 11pm and 1x 3pm to 9pm, and a lounge assistant from 4pm – 8pm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senior caregiver who is medication competent 10.45 pm to7.15 am (shared across the two units), and 1x 11pm to 7am.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Care unit two (18 residents): Morning shift:  1x 7am - 3.30pm and 1x 7am - 1.30pm and a lounge assistant from 9am to 4pm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1x 3pm - 11pm, and 1x 3pm to 9pm, and a lounge assistant from 4pm to 8pm (shared across the two units).  </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senior caregiver who is medication competent 10.45 pm to 7.15 am (across the two units), and 1x 11pm to 7am.</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rest home unit (39 residents including one hospital resident) on the day of the audit include: a unit coordinator seven days a week, and a registered nurse Monday to Friday from 7 am to 3.30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are supported by four caregivers: 1x 7 am to 3.30 pm, 1x 7 am to 3 pm, 1x 7 am to 1.30 pm and 1x 7 am to 1 pm.  </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four caregivers; 2x (one of whom is a senior caregiver), 1x 4 pm to 9 pm and 1x 5 pm to 8.30 pm.</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has one senior caregiver 10.45 pm to 7.15 pm and one caregiver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Staffing in the hospital unit (39 residents including one rest home level) on the day of the audit include: the unit coordinator Sunday to Thursday.  Two registered nurses on morning and afternoon shift and one registered nurse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They are supported by eight caregivers and a fluid assistant: 4x 7 am to 3.30 pm, 2x 7 am to 1.30 pm, 2x 7 am to 1 pm and 1x fluid assistants from 7 am to 3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seven caregivers and a lounge caregiver: 2x 3 pm to 11 pm, 3x 3 pm to 9 pm, 2x 4 pm to 9 pm, and one lounge caregiver from 4 pm to 8 pm.  </w:t>
            </w:r>
          </w:p>
          <w:p w:rsidR="00EB7645" w:rsidRPr="00BE00C7" w:rsidP="00BE00C7">
            <w:pPr>
              <w:pStyle w:val="OutcomeDescription"/>
              <w:spacing w:before="120" w:after="120"/>
              <w:rPr>
                <w:rFonts w:cs="Arial"/>
                <w:b w:val="0"/>
                <w:lang w:eastAsia="en-NZ"/>
              </w:rPr>
            </w:pPr>
            <w:r w:rsidRPr="00BE00C7">
              <w:rPr>
                <w:rFonts w:cs="Arial"/>
                <w:b w:val="0"/>
                <w:lang w:eastAsia="en-NZ"/>
              </w:rPr>
              <w:t>Night has three caregivers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It was reported that all staff help each other across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staff on duty were visible and attending to call bells in a timely manner as confirmed by all residents interviewed.  Staff interviewed stated that overall, the staffing levels are satisfactory and that the management team provide good support.  The resident and relatives interviewed reported there are adequate staff numbers.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into the resident’s individual record within 24 hours of entry.  Personal resident information is kept confidential and cannot be viewed by other residents or members of the public.  Electronic resident files were protected from unauthorised access.  Entries were dated and included relevant caregiver or registered nurse, including designation.  The electronic system (myRyman) demonstrated service integration of resident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Information gathered on admission is retained in residents’ records.  The relatives interviewed stated they were well informed upon admission.  The service has a well-developed information pack available for residents/families/whānau at entry including specific information on dementia level of care and the safe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including advance directives or medical care guidance documentation.  Transfer notes and discharge information was available in the hard copy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All medications are stored safely in each unit.  Registered nurses and senior caregivers’ complete annual medication competencies and education.  Registered nurses complete syringe driver training.  Medication reconciliation of monthly blister packs and ‘as required’ blister packs is checked by an RN with the signature on the back of the blister pack.  Any errors are fed back to the pharmacy.  Hospital level impress medications are checked regularly for stock level and expiry dates.  Medication audits are completed.  There were three hospital level residents and two rest home residents self-medicating with a self-medicating assessment in place that are reviewed three-monthly by the GP.  The medication fridge temperatures are taken weekly in the dementia care unit and rest home unit.  The fridge medication temperatures are taken daily in the hospital unit as part of a corrective action plan for temperatures above the acceptable limit.  Medication room air temperatures are taken and recorded daily.  All eye drops, creams and sprays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system.  Twenty-two medication charts were reviewed (eight hospital, eight rest home and six dementia care).  All medication charts had photographs, allergies documented and had been reviewed at least three-monthly by the GP.  Records demonstrated that regular medications were administered as prescribed.  ‘As required’ medications had the indication for use documented.  The effectiveness of ‘as required’ medications were recorded in the electronic medication system and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 site.  The kitchen is located in the service area on the ground floor.  The qualified chef (interviewed) is supported by a cook assistant and morning and afternoon kitchenhands each day.  All food services staff have completed induction, food safety training and chemical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Project “delicious” is a four weekly seasonal menu with three menu choices for the midday meal and two choices for the evening meal, including a vegetarian option and gluten free foods.  The seasonal menu has been designed in consultation with the dietitian at an organisational level.  The chef receives a resident dietary profile for all new admissions and is notified of any dietary changes.  Resident dislikes are accommodated, and alternative options provided.  A weekly update on dietary requirements is received from the units.  Pureed meals are provided.  Lip plates are available to encourage resident’s independence with meals.  All meals are plated in the kitchen and delivered to the units in scan boxes.  Special diets are name labelled.  End-cooked temperatures and serving temperatures are taken and recorded.  Each unit has a functioning satellite kitchen from where the breakfast is served.  Nutritious snacks such as sandwiches, fruit, yoghurts are delivered to the dementia care unit and there was plenty of snacks, fluids and foods available in all the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involved in catering for resident special events and functions and host the “chefs table” dining monthly.  The service also operates the on-site café.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food control plan that expires May 2021.  Temperatures are taken and recorded for fridges, freezer, cooking and cooling and incoming goods.  All foods were stored correctly, and date labelled.  The chemicals are stored safely, and the chemical provider conducts checks on the dishwasher regularly.  A cleaning schedule is maintained.  Staff were observed to be wearing appropriate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and direct contact with the food services staff.  Resident and relatives interviewed spoke positively about the choices and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an initial assessment and relevant risk assessment tools had been completed on admission and reviewed six-monthly as part of the evaluation process.  The outcomes of interRAI assessments and risk assessments that had been triggered were reflected in the care plans reviewed.  Additional assessments such as (but not limited to) behavioural, pain, wound and physiotherapy assessments were completed according to need.  There are a number of assessments completed that assess resident needs holistically such as cultural and spiritual and activities assessments.  The assessments generate interventions and narrative completed by the RNs that are transferred to the myRyman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outlines objectives of nursing care, setting goals, and details of implementation required to ensure the resident’s individual needs and goals are met.   The myRyman programme identifies interventions that cover a comprehensive set of goals including managing medical needs/risks.  Key symbols on the resident’s electronic home page identity current and acute needs such as (but not limited to); current infection, wound or recent fall, likes and dislikes.  There were behaviour management plans in place for the three dementia care resident files reviewed.  There was documented evidence of resident/family/whānau involvement in the care planning process in the long-term files reviewed.  Relatives interviewed confirmed they were involved in the care planning process.  Care plans included involvement of allied health professionals in the care of the resident such as the GP, physiotherapist, geriatrician dietitian and palliative care nurse.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interviewed reported their needs were being met.  The family members interviewed stated their relative’s needs were being appropriately met.  When a resident's condition alters, the registered nurse initiates a review and if required a GP or NP visit or nurse specialist consultant.  The care plans are updated with any changes to care and required health monitoring interventions for individual residents are scheduled on the RN or caregiver work log.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evaluations were in place for 10 wounds (six rest home, two hospital and two dementia care).  There were chronic leg ulcers, surgical wound, skin tears and lesions.  There were no pressure injuries on the day of audit.  All wounds are linked to the care plans.  Photos were taken where relevant.  There are two RN wound champions who receive ongoing wound care education.  They review all wounds weekly.  Referrals are made as necessary to the dietitian and wound nurse specialist.  The service has adequate pressure relieving resources available.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requirements are scheduled on the work log and used to monitor a resident’s progress against clinical/care interventions for identified concerns or problems. Monitoring forms reviewed on the electronic work logs included blood pressure, weights, blood sugar levels, pain, behaviour, repositioning charts, bowel records, food and fluids, intentional rounding and neurological observations.  Intentional rounding is determined by the residents need including toileting, whereabouts of residents or falls risk.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activity team of three diversional therapists and lifestyle coordinators to implement the Engage programme across all levels of care in the serviced apartments, rest home, hospital and dementia care unit.  The programme is from Monday to Friday 9.30 am to 4.30 pm in the serviced apartments and rest home.  Rest home residents in the serviced apartments can choose to attend the serviced apartments or rest home activities.  The programme for the hospital and dementia care unit is from Monday to Sunday.  The hours for the programme in the dementia care unit is from 9.30 am to 6 pm.  Lounge careers are involved in activities.  There are plenty of resources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been implemented.  There are set activities with the flexibility for each service level to add activities that are meaningful and relevant for the resident group including but not limited to; Triple A exercises, board games, news and views, make and create, memory lane, gardening, walks, men’s club, knitting circle, happy hour and sensory activities including pet therapy, baking and one-on-one pampering.  Themed events and festive occasions are celebrated.  Community links include pre-school and college children, church groups, pet therapy, yoga instructors, bridge club speakers and entertainers.  There are weekly van outings/scenic drives for all residents.  The van driver has a current first aid certificate.  The activity programme has been disrupted during the Covid-19 lockdown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experiences and an activity assessment is completed for residents on admission.  The resident/family/whānau (as appropriate) are involved in the development of the activity plan.  The activity plan is incorporated into the myRyman care plan and evaluated six-monthly with the MDT review.  Residents/relatives can feedback on the programme through the resident and relative meetings and surveys.  The February 2020 survey results showed an improvement in resident/relative satisfaction with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files of residents who had been at the service six months identified that long-term care plans had been evaluated by registered nurses.  Five of eleven resident files were not due for a six-monthly evaluation (two hospital, two rest home and one dementia care).  All initial care plans had been evaluated at three weeks prior to the development of the long-term care plan.  Care plans had been updated with any changes to health and care.  The serviced apartment coordinator/enrolled nurse completes interRAI assessments and care plans which are countersigned by the RN. </w:t>
            </w:r>
          </w:p>
          <w:p w:rsidR="00EB7645" w:rsidRPr="00BE00C7" w:rsidP="00BE00C7">
            <w:pPr>
              <w:pStyle w:val="OutcomeDescription"/>
              <w:spacing w:before="120" w:after="120"/>
              <w:rPr>
                <w:rFonts w:cs="Arial"/>
                <w:b w:val="0"/>
                <w:lang w:eastAsia="en-NZ"/>
              </w:rPr>
            </w:pPr>
            <w:r w:rsidRPr="00BE00C7">
              <w:rPr>
                <w:rFonts w:cs="Arial"/>
                <w:b w:val="0"/>
                <w:lang w:eastAsia="en-NZ"/>
              </w:rPr>
              <w:t>Written evaluations describe the resident’s progress against the residents identified goals and any changes made on the care plan where goals have not been met.  A number of risk assessments (including interRAI) are completed in preparation for the six-monthly care plan review.  The multidisciplinary (MDT) review includes the RN, caregivers, DT, GP, physiotherapist, resident, relative and any other health professionals involved in the resident’s care.  A record of the MDT review is kept in the resident’s hard copy file.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was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from dementia care to hospital level, respite care to rest home and from rest home to dementia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Relevant staff have completed chemical safety training.  Gloves, aprons, and goggles were available for all care staff and laundry/housekeeping staff and available in sluice rooms and laundry/housekeeping areas.  Infection control policies state specific tasks and duties for which protective equipment is to be worn.  Staff were observed to be wearing appropriate personal protective clothing while carrying out their duties.  Chemicals are labelled correctly and stored safely throughout the facility.  Safety datasheets and product information is available.  The chemical provider monitors the effectiveness of chemicals and provides chemical safety training.  There is a chemical spills kit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30 January 2021.  The care centre is across three levels: hospital care on level 3, rest home care on level 2 and dementia level of care on the ground floor.  The 30 serviced apartments are across the three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team (one full-time and one part-time person) address daily repair and maintenance requests (as sighted on the maintenance log) and monthly planned maintenance as scheduled.  The part-time maintenance person (interviewed) has completed chemical safety training, first aid, manual handling, and site safety course.  There is separate gardening and grounds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maintenance schedule includes the calibration of medical equipment, functional testing of electrical equipment and hot water temperatures in resident areas.  Hot water temperatures in resident areas are stable below 45 degrees Celsius.  Electrical registers are maintained for all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space in the rest home and hospital units for safe manoeuvring of hoists within bedrooms and for hospital level lounge chairs in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access outdoor areas safely or with supervision.  The rest home and hospital units have outdoor balconies with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There is secure entry/exit to the two dementia 20 bed units on the ground floor.  Each unit has access to two courtyard areas with walking pathways, raised gardens, seating and shade.  One large courtyard can be accessed by residents from both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sufficient equipment to safely deliver the cares as outlined in the resident care plans.  The hospital unit has a large storage area for the three full hoists, two standing hoists and three sara steady’s.  There is a full hoist available in the rest home and dementia unit for use in case of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(including the serviced apartments) have full toilet/shower ensuites.  There are adequate numbers of communal toilets located near the communal areas.  Toilets have privacy locks.  Non-slip flooring and handrails are in place.  Care staff interviewed confirmed they maintain the resident’s privacy when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double rooms, one in the hospital unit and one in the rest home unit.  All other resident rooms are single.  All bedrooms and ensuites are spacious for the safe use and manoeuvring of mobility aids.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and rest home units have a large open-plan dining area with kitchenette and open plan lounge area.  Seating is arranged to allow large group and small group activities to occur.  Both units have a family room.  All serviced apartments also have their own spacious lounge and kitchenette as well as communal dining areas.  The village centre is on the ground floor with communal areas available to care centre residents including the café, movie room, reflection room and hair salon.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dementia unit has an open-plan living area.  Each living area is spacious with a separate dining area and a smaller lounge where residents can also dine.  The spacious open plan area allows for quiet areas and group activities.  The hallways and communal areas allow maximum freedom of movement while promoting the safety of residents who are likely to wander.  There is free access to the safe outdoor gardens and walking pathways.  There is a secure connecting door between the units that can be opened up for entertainment and larger group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with the service policies and procedures.  The laundry is located in the service area on the ground floor.  The laundry has a double door entry and exit with defined clean/dirty areas.  All linen and personal clothing is laundered on site.  There are three laundry staff who work staggered starting and finishing times between 8 am to 10 pm.  There are large commercial washing machines, sluice machine and dryers.  The clean side has a large table for folding washing and a labelling machine.  There is a large linen storeroom opposite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secure area for the storage of cleaning and laundry chemicals in the laundry.  Material safety datasheets are readily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Cleaners were observed wearing appropriate protective clothing while carrying out their duties.  Cleaner’s trolleys (sighted) were well equipped.  Trolleys are stored in locked cleaners’ cupboards when not in use.  A chemical dispensing unit is used to refill chemical bottles.  All chemical bottles have the correct manufacturer’s labels.  Cleaners trolleys are kept in locked cupboards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is received through resident meetings and results of internal audits.  The chemical provider conducts monthly quality control checks on the equipment and efficiency of chemicals in the laundry and housekeeping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Orientation includes emergency preparedness.  There are staff employed across the facility 24/7 with a current first aid certificate.  The facility has an approved fire evacuation plan and fire drills take place six-monthly.  The last fire evacuation drill occurred on 11 and 12 August 2020.  Smoke alarms, sprinkler system and exit signs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lighting is in place, which runs for at least two hours.  The facility has an on-site diesel generator to run essential services.  There is a civil defence kit located on each level.  Supplies of stored drinkable water is stored in large holding tanks.  There is sufficient water stored to ensure three litres per day for three days per resident (270,100 litres).  There are alternative cooking facilities available with three gas barbeques and gas hobs in the kitchen.  Gas heaters are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is evident in resident’s rooms, lounge areas and toilets/bathrooms.  Serviced apartments have a call bell system, which is linked to staff pagers.  Staff advised that they conduct security checks inside at night, in addition to an external contractor who checks the external area.  A security camera is installed at the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ceiling heating throughout the facility.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appropriate for the size and complexity of the service.  There is an infection prevention and control responsibility policy that included a chain of responsibility and an infection prevention and control coordinator’s job description.  The clinical manager is responsible for infection prevention and control at the facility and has previous experience in infection control coordination.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linked into the quality management system.  The infection prevention and control committee meet monthly.  The facility meetings also include a discussion of infection prevention and control matters.  The programme is set out annually from head office and directed via the TeamRyman calendar.  The facility had developed links with the GPs, local laboratory, the infection control, and public health departments at the local DHB.  Notices are displayed on entry to the facility reminding visitors not to visit of they are unwell.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current Covid-19 guidelines, all visitors and contractors must complete a wellness declaration and sign into the facility.  All visitors and contractors are provided with a mask on entry to the facility.  There were adequate supplies of infection control equipment on each floor in the case of outbreaks.  A good supply of hand gel, masks and aprons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(IC) coordinator has maintained best practice by attending infection control updates.  Ryman is a member of Bug Control; the IC coordinator is a member of the New Zealand wound care society and the infection control society New Zealand.  The infection control team is representative of the facility.  Resident care plans reviewed included comprehensive documentation for any known infections. </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requirements during the Covid-19 lockdown and practices at all different levels have been adhered to.  There are four large folders containing all information and processes for each level of lockdown.  During the lockdown period, staff were provided with separate changing facilities at work on each floor, and for ancillary staff.  All staff had very clear guidelines on infection control and laundering of uniforms.  Residents adhered to the isolation and temperature checking.  Activities were set up in hallways so residents could participate while adhering to social distancing.  Education was provided for hand washing, and one on one training was provided for the correct techniques of donning and doffing personal protective equipment (PPE).  The microbiologist provided training just prior to lockdown in March 2020.  The facility continues to maintain current regulations by having a member of staff dedicated to greeting visitors at the entrance and ensuring they complete the electronic wellness declaration and sign in.  Each visitor is provided with a mask, and visiting continues to be restricted to two visitors per person at any time, and visitors must see the resident in the resident’s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legislation, and good practice.  These policies are generic to Ryman and the templates were developed by an external agency.  The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is responsible for coordinating/providing education and training to staff.  The orientation/induction package includes specific training around hand washing and standard precautions and training is provided both at orientation and as part of the annual training schedule.  Resident education occurs as part of providing daily care and also during relative/resident meetings.  Online training was provided around combatting Covid, PPE and handwashing was provided as required in March 2019.  Infection control education separate to Covid was provided in April and September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TeamRyman.  Effective monitoring is the responsibility of the infection prevention and control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individual infection report form is completed for each infection.  Data is logged into an electronic system, which gives a monthly infection summary.  This summary is then discussed at the monthly infection prevention and control (IPC) meetings.  All meetings held include discussion on infection prevention control.  The IPC programme is incorporated into the internal audit programme.  Internal audits are completed for hand washing, housekeeping, linen services, and kitchen hygiene.  Infection rates are benchmarked across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at the facility since the last audit, both in 2019.  One norovirus and one influenza were reported and managed well.  Charles Upham have remained under benchmark for respiratory infection for a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restraint coordinator is a registered nurse with a job description that defines the role and responsibility of the restraint coordinator.  The restraint approval process identifies the indications for restraint use, consent process, duration of restraint and monitoring requirements.  The approval group meet regularly when restraint is in use, all restraint and enablers are reported to TeamRyman monthly.</w:t>
            </w:r>
          </w:p>
          <w:p w:rsidR="00EB7645" w:rsidRPr="00BE00C7" w:rsidP="00BE00C7">
            <w:pPr>
              <w:pStyle w:val="OutcomeDescription"/>
              <w:spacing w:before="120" w:after="120"/>
              <w:rPr>
                <w:rFonts w:cs="Arial"/>
                <w:b w:val="0"/>
                <w:lang w:eastAsia="en-NZ"/>
              </w:rPr>
            </w:pPr>
            <w:r w:rsidRPr="00BE00C7">
              <w:rPr>
                <w:rFonts w:cs="Arial"/>
                <w:b w:val="0"/>
                <w:lang w:eastAsia="en-NZ"/>
              </w:rPr>
              <w:t>The standard of restraint minimisation has been exceeded at Charles Upham.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(when in use) are discussed and reviewed at the six-monthly restraint meetings, attended by the restraint coordinator and members of the approval group.  Meeting minutes include (but are not limited to) a review of the residents using restraints or enablers, any updates to the restraint programme, and staff education and training and review.  </w:t>
            </w:r>
          </w:p>
          <w:p w:rsidR="00EB7645" w:rsidRPr="00BE00C7" w:rsidP="00BE00C7">
            <w:pPr>
              <w:pStyle w:val="OutcomeDescription"/>
              <w:spacing w:before="120" w:after="120"/>
              <w:rPr>
                <w:rFonts w:cs="Arial"/>
                <w:b w:val="0"/>
                <w:lang w:eastAsia="en-NZ"/>
              </w:rPr>
            </w:pPr>
            <w:r w:rsidRPr="00BE00C7">
              <w:rPr>
                <w:rFonts w:cs="Arial"/>
                <w:b w:val="0"/>
                <w:lang w:eastAsia="en-NZ"/>
              </w:rPr>
              <w:t>The standard has been exceeded around achieving restraint free.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4"/>
        <w:gridCol w:w="1280"/>
        <w:gridCol w:w="1632"/>
        <w:gridCol w:w="79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May 2019, the service identified an area for improvement around communication and complying with residents’ end of life cares.  Advance directives had been completed by the competent resident and medical care guidance had been completed by the EPOA or GP in 94% of resident files to date.  The service has been awarded a continuous improvement rating in recognition of its commitment to ensuring advance care plans were in place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Charles Upham became the pilot village for implementation of advance care planning in association with the Amberley Medical Centre.  The national Advance Care Plan document was used for the competent residents and the Medical Care Guidance (initially a Canterbury DHB document) has been utilised for the incompetent resident.  This document is now rolled out nationally.  Education was provided to the RNs by the Canterbury Initiative Advance Care Plan facilitator in July 2019.  The importance of completing documents and progress was discussed at the weekly RN/EN meetings.  An ACP champion role was created and supported to attend an ACP workshop in Christchurch, September 2019, where legal framework, ethical challenges, conversation with families and documentation. was discussed.  The facility was recognised at the workshop for its success in rolling out the ACPs.  Admitting RNs are required to have the advance care plan conversations and provide the ACP leaflets to the family and resident (as appropriate).  There has been discussion around the importance of ACP at the six-monthly relative meetings.  The ACP champion follows up the documentation, liaises with family, supports RNs and reviews the document prior to submission to the GP.  The final document is loaded onto the Medical Centre Health 1 system where it is accessible to the DHB and St Johns ambulance service.  The goal to have 80% ACPs for existing resident completed by December 2019 has been successful with 90% of ACPs completed.  The aim now is to have the ACP or medical care guidance document completed within 21 days of admission.  To date 94% of residents across the three levels of care have an advance directive in place.  The GP confirmed that staff knowledge around end of life wishes reduces family concerns and there was excellent feedback from relatives interviewed on the high standard of care provided.  The GP, regional manager and clinical manager stated there has been improved communication with residents and family members around end of life care and wishes, resulting in unnecessary acute hospitalisations and reduced after hours visits due to planned care interventions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identified that twelve residents in the special care unit (dementia) were losing weight unintentionally.  The aim was for no more than 10% of the residents were to be losing weight unintentionally.  A quality improvement project (QIP) was developed around improving the dining experience.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Challenging behaviours were identified in the special care unit that were above average (3.68 compared to 3.0/1000 bed nights in the six months from June to December 2018).  A QIP was developed in January 2019.  Education was provided to staff around de-escalation, challenging behaviours, dementia, continence management and communication.  There was a review of the resident behaviour care plans, and meetings were held with relatives.  In the six months from July to December 2019 the clinical indicator remained low at 4.07 (benchmark 6.38/1000 bed nights) and the average from January to June 2020 is 3.67.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Instances of bruising has decreased from 14.10/1000 bed nights to 3.23/1000 bed nights across the facility (below five across the facility per month since February 2020).  Moisturising cream is prescribed, feedback of statistics and corrective actions are discussed at meetings, education around skin integrity, manual handling, hydration, and falls prevention have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statistics, urinary tract infections and facility acquired pressure injuries have remained below benchmark with staff education around falls prevention, physiotherapist input, food and fluid monitoring and intervention in care plans updated, and reminders at handovers.  Monthly analysis and trending, incidents and infections monitor effectiveness of the strategies in place.  The registered nurses and caregivers all fluently confirmed measures taken, corrective actions, discussion of statistics and ongoing progress as per minutes of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goal for Charles Upham was to reduce their quality data statistics to remain under benchmark within the Ryman organisation.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Challenging behaviours were identified in the special care unit that were above average (3.68 compared to 3.0/1000 bed nights in the six months from June to December 2018).  A QIP was developed in January 2019.  Education was provided to staff around de-escalation, challenging behaviours, dementia, continence management and communication.  There was a review of the resident behaviour care plans, and meetings were held with relatives.  In the six months from July to December 2019 the clinical indicator remained low at 4.07 (benchmark 6.38/1000 bed nights) and the average from January to June 2020 is 3.67.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Instances of bruising has decreased from 14.10/1000 bed nights to 3.23/1000 bed nights across the facility (below five across the facility per month since February 2020).  Moisturising cream is prescribed, feedback of statistics and corrective actions are discussed at meetings, education around skin integrity, manual handling, hydration, and falls prevention have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statistics, urinary tract infections and facility acquired pressure injuries have remained below benchmark with staff education around falls prevention, physiotherapist input, food and fluid monitoring and intervention in care plans updated, and reminders at handovers.  Monthly analysis and trending, incidents and infections monitor effectiveness of the strategies in place.  The registered nurses and caregivers all fluently confirmed measures taken, corrective actions, discussion of statistics and ongoing progress as per minutes of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initiative was developed in March 2019 to reduce the use of restraint and work towards becoming restraint free.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beds at Charles Upham are placed in the middle of the room, so residents can get out either side of the bed.  Five residents were on restraint.  A QIP was developed around reaching restraint free status.  Education sessions were held around restraint minimisation, managing challenging behaviour and the residents code of rights.  Intentional rounding was increased to 30 minutes, wider beds were purchased for residents at risk of rolling out of bed and were identified to be a high fall risk.  Bed sensor mats are in place and floor sensor mats are in place at both sides of the bed for residents at high risk of falling.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Physiotherapy was involved for residents at high fall risk to enable residents to move around independently, maintain muscle strength and maintain freedom and dignity.  Caregivers interviewed described measures they take to prevent residents from falling, while respecting dignity and promoting independence including increased monitoring which is recorded in myRyman.  Charles Upham has been restraint free since December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Charles Upham Retirment Village Limited - Charles Upham Retirement Village</w:t>
    </w:r>
    <w:bookmarkEnd w:id="58"/>
    <w:r>
      <w:rPr>
        <w:rFonts w:cs="Arial"/>
        <w:sz w:val="16"/>
        <w:szCs w:val="20"/>
      </w:rPr>
      <w:tab/>
      <w:t xml:space="preserve">Date of Audit: </w:t>
    </w:r>
    <w:bookmarkStart w:id="59" w:name="AuditStartDate1"/>
    <w:r>
      <w:rPr>
        <w:rFonts w:cs="Arial"/>
        <w:sz w:val="16"/>
        <w:szCs w:val="20"/>
      </w:rPr>
      <w:t>1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