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Matua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Matua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September 2020</w:t>
      </w:r>
      <w:bookmarkEnd w:id="7"/>
      <w:r w:rsidRPr="009418D4">
        <w:rPr>
          <w:rFonts w:cs="Arial"/>
        </w:rPr>
        <w:tab/>
        <w:t xml:space="preserve">End date: </w:t>
      </w:r>
      <w:bookmarkStart w:id="8" w:name="AuditEndDate"/>
      <w:r w:rsidR="00A4268A">
        <w:rPr>
          <w:rFonts w:cs="Arial"/>
        </w:rPr>
        <w:t>2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opening meeting identified a total of 154 beds (64 rest home beds including five identified as studio units); 68 hospital beds and 22 dementia beds. The hospital beds have already been identified as dual-purpose beds.  This certification audit has verified 60 extra dual-purpose beds (including five studio units) giving a total of 128 dual-purpose beds; four rest home beds (two double rooms in the rest home area identified as rooms 11 Rimu and 9 Rata);  and 22 dementia beds.  Overall bed numbers remain the same.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Radius Matua is owned and operated by Radius Residential Care Limited.  The service provides cares for up to 154 residents requiring rest home, hospital (medical and geriatric) or dementia level care.  On the day of the audit, there were 145 residents.  The service is managed by a facility manager who has been in the role for six years with support from the Radius regional manager, a nurse manager, assistant facility coordinator and a team leader for each unit/area.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This audit has not identified any areas requiring improvements.</w:t>
      </w:r>
    </w:p>
    <w:p w:rsidRPr="00A4268A">
      <w:pPr>
        <w:spacing w:before="240" w:line="276" w:lineRule="auto"/>
        <w:rPr>
          <w:rFonts w:eastAsia="Calibri"/>
        </w:rPr>
      </w:pPr>
      <w:r w:rsidRPr="00A4268A">
        <w:rPr>
          <w:rFonts w:eastAsia="Calibri"/>
        </w:rPr>
        <w:t>The service has exceeded the standard around communication during the lock down period of the pandemic, and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Examples of good practice were provided.</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r w:rsidRPr="00A4268A">
        <w:rPr>
          <w:rFonts w:eastAsia="Calibri"/>
        </w:rPr>
        <w:t xml:space="preserve">Examples of good practice were provided.  There is an established system for the management of complaints, which meets guidelines established by the Health and Disability Commission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A facility manager, assistant facility coordinator and clinical manager are responsible for the day-to-day operations.  Goals are documented for the service with evidence of regular reviews.  Quality and risk management programmes are embedded.  Corrective actions are implemented and evaluated where opportunities for improvements are identified.  Falls management strategies are being implemented.</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that is specific to their role and responsibilities.  Ongoing education and training programmes are in place, which include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Residents and staff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newly employed chef is in the role of kitchen manager with meals prepared on site.  The Food Plan is current.  The menu has been approved by a dietitian.  Individual and special dietary needs are catered for.  Alternative options are able to be provided.  Residents and relatives interviewed were satisfied with the food service.  </w:t>
      </w:r>
    </w:p>
    <w:p w:rsidRPr="00A4268A" w:rsidP="00621629">
      <w:pPr>
        <w:spacing w:before="240" w:line="276" w:lineRule="auto"/>
        <w:rPr>
          <w:rFonts w:eastAsia="Calibri"/>
        </w:rPr>
      </w:pPr>
      <w:r w:rsidRPr="00A4268A">
        <w:rPr>
          <w:rFonts w:eastAsia="Calibri"/>
        </w:rPr>
        <w:t xml:space="preserve">Each resident has access to individual and group activities programmes.  The group programme is varied and reflects input by the residents. </w:t>
      </w:r>
    </w:p>
    <w:p w:rsidRPr="00A4268A" w:rsidP="00621629">
      <w:pPr>
        <w:spacing w:before="240" w:line="276" w:lineRule="auto"/>
        <w:rPr>
          <w:rFonts w:eastAsia="Calibri"/>
        </w:rPr>
      </w:pPr>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included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senior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Chemicals are stored safely throughout the facility.  All bedrooms are single occupancy and most have their own ensuite.  There is sufficient space to allow the movement of residents around the facility using mobility aids.  There are a number of small lounge and dining areas throughout the facility in addition to its main communal areas.  The internal areas are able to be ventilated and heated.  The outdoor areas are safe and easily accessible, and the dementia garden is secure.  Cleaning and laundry staff are providing appropriate services. </w:t>
      </w:r>
    </w:p>
    <w:p w:rsidRPr="00A4268A">
      <w:pPr>
        <w:spacing w:before="240" w:line="276" w:lineRule="auto"/>
        <w:rPr>
          <w:rFonts w:eastAsia="Calibri"/>
        </w:rPr>
      </w:pPr>
      <w:r w:rsidRPr="00A4268A">
        <w:rPr>
          <w:rFonts w:eastAsia="Calibri"/>
        </w:rPr>
        <w:t xml:space="preserve">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facility is restraint-free.  Staff receive regular education and training on restraint minimisation and managing challenging behaviours.  There was one enabler in use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facility has responded promptly and appropriately to the Covid pandemic, and Ministry of Health and Public Health directives.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7"/>
        <w:gridCol w:w="1280"/>
        <w:gridCol w:w="98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Matua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annual in-service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including 13 healthcare assistants (four from the rest home, five from the hospital and four from the dementia unit), four registered nurses (one from the rest home, one from the dementia unit, and two from the hospital), one activities coordinator/diversional therapist, two activities assistants, two laundry staff and two cleaners, assistant facilities coordinator, kitchen manager (chef), maintenance manager, one team leader housekeeping, and the physiotherapist confirmed their understanding of the Code.  </w:t>
            </w:r>
          </w:p>
          <w:p w:rsidR="00EB7645" w:rsidRPr="00BE00C7" w:rsidP="00BE00C7">
            <w:pPr>
              <w:pStyle w:val="OutcomeDescription"/>
              <w:spacing w:before="120" w:after="120"/>
              <w:rPr>
                <w:rFonts w:cs="Arial"/>
                <w:b w:val="0"/>
                <w:lang w:eastAsia="en-NZ"/>
              </w:rPr>
            </w:pPr>
            <w:r w:rsidRPr="00BE00C7">
              <w:rPr>
                <w:rFonts w:cs="Arial"/>
                <w:b w:val="0"/>
                <w:lang w:eastAsia="en-NZ"/>
              </w:rPr>
              <w:t>Nineteen residents (14 rest home level including four in studio units, and five hospital level residents including one in a studio unit) and eight relatives (two hospital level, three rest home level and three dementia level)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consents are signed by the resident or their enduring power of attorney (EPOA).  All residents in the dementia unit have an activated EPOA.  Advanced directives are signed for separately.  There was evidence of discussion with family when the general practitioner completed a clinically indicated not for resuscitation order.  The files in the hospital and rest home areas had an informed consent signed with this scanned into eCase.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registered nurses interviewed confirmed that verbal consent is obtained when delivering care.  Discussion with family members identified that the service actively involves them in decisions that affect their relative’s lives.  Staff working in the dementia unit also stated that they actively engaged with residents to give choice around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thirteen resident files sampled (five from the rest home, five from the hospital and three from dementia rest home) had a signed admission agreement and consents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family/EPOA to be involved in decisions.  The resident files included information on residents’ family/whānau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local independent advocate visits the facility at least annually to talk with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noting that the pandemic during lockdown periods curtailed this activity. </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and encouraged to remain involved in the community.  Relatives and friends are encouraged to be involved with the service and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exceeded the standard with initiatives to engage in communication with residents and relatives during the pandemic.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at the entrance to the facility.  Information about complaints is provided on admission.  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includes complaints received, dates and actions taken.  Complaints are being managed in a timely manner, meeting requirements determined by the Health and Disability Commissioner (HDC).  They are signed off by the facility manager when closed.  There is evidence of lodged complaints being discussed in the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Seventeen complaints were lodged in 2019 and eleven in 2020 (year to date).  Four complaints lodged in 2020 were selected for review in detail and confirmed adherence to HDC response timelines.  A detailed investigation was completed for each complaint.  One complaint lodged reflected input from the HDC Advocacy service as requested by the resident.  Complainants are given the contact details of HDC if they are not satisfied with the outcome.  All complaints in the register (2019, 2020) have been documented 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that includes information about the Code and the nationwide advocacy service and includes specific information about the dementia unit.  There is the opportunity to discuss aspects of the Code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that information had been provided to them around the Code. </w:t>
            </w:r>
          </w:p>
          <w:p w:rsidR="00EB7645" w:rsidRPr="00BE00C7" w:rsidP="00BE00C7">
            <w:pPr>
              <w:pStyle w:val="OutcomeDescription"/>
              <w:spacing w:before="120" w:after="120"/>
              <w:rPr>
                <w:rFonts w:cs="Arial"/>
                <w:b w:val="0"/>
                <w:lang w:eastAsia="en-NZ"/>
              </w:rPr>
            </w:pPr>
            <w:r w:rsidRPr="00BE00C7">
              <w:rPr>
                <w:rFonts w:cs="Arial"/>
                <w:b w:val="0"/>
                <w:lang w:eastAsia="en-NZ"/>
              </w:rPr>
              <w:t>Large print posters of the Code and advocacy information are displayed throughout the facility.  A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During the audit, staff were observed to be respectful of residents’ privacy by knocking on doors prior to entering resident rooms.  Staff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this includes family involvement.  Interviews with residents confirmed their values and beliefs were considered.  Interviews with HCAs described how choice is incorporated into resident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double rooms in the rest home wings and three in the hospital.  Only one double room in the rest home has a couple occupying the room and the others are occupied by a single resident.  The couple sharing a room has agreed to share a room as part of the service agreement.  There are curtain tracks in place should the couple decide that they want curtains up in the room separating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policy for the organisation references local Māori health care providers regionally within New Zealand and provides recognition of Māori values and beliefs.  Family/whānau involvement is encouraged in assessment and care planning, and visiting is encouraged.  Links are established with disability and other community representative groups as requested by the resident/family.  Cultural needs are addressed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care plan reviewed for a Māori resident confirmed that their cultural needs were assessed and the plan included specific interventions as per the assessment.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stated that they can seek advice and support with an identified person from Ngati Ranginui.  There are also Māori staff who can provide input and advice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 monthly multi-disciplinary team meetings occur to assess if needs are being met.  A review of resident records confirmed that family are invited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staff (team) meetings and toolbox talks include discussions around professional boundaries and concerns noting that because of the Covid pandemic, some meetings have had to be postponed and toolbox sessions have taken their place.  </w:t>
            </w:r>
          </w:p>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Interviews with the care staff confirmed their understanding of professional boundaries including the boundaries of the healthcare assistants’ role and responsibilities.  Professional boundaries are reconfirmed through education and training sessions, staff meetings, and performance management if there are any specific issues raised.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incidents and complaints for 2020 did not identify any evidence of discrimination.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Radius facilities have a master copy of policies, which have been developed in line with current accepted best practice and these are reviewed regularly.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for collating, monitoring, and benchmarking between facilities.  Indicators include (but are not limited to) resident incidents/accidents, resident infections, staff incidents/accidents or injuries.  Feedback is provided to staff via staff meetings.  Corrective actions are developed where results do not meet acceptable targets.  </w:t>
            </w:r>
          </w:p>
          <w:p w:rsidR="00EB7645" w:rsidRPr="00BE00C7" w:rsidP="00BE00C7">
            <w:pPr>
              <w:pStyle w:val="OutcomeDescription"/>
              <w:spacing w:before="120" w:after="120"/>
              <w:rPr>
                <w:rFonts w:cs="Arial"/>
                <w:b w:val="0"/>
                <w:lang w:eastAsia="en-NZ"/>
              </w:rPr>
            </w:pPr>
            <w:r w:rsidRPr="00BE00C7">
              <w:rPr>
                <w:rFonts w:cs="Arial"/>
                <w:b w:val="0"/>
                <w:lang w:eastAsia="en-NZ"/>
              </w:rPr>
              <w:t>The Radius eCase electronic resident information (eg, care plans, monitoring charts) has been implemented that allows for less paper-based documentation.  Interventions (eg, weight management, falls management strategies, pain management, neurological observations, behaviour management) are all documented using eCase.</w:t>
            </w:r>
          </w:p>
          <w:p w:rsidR="00EB7645" w:rsidRPr="00BE00C7" w:rsidP="00BE00C7">
            <w:pPr>
              <w:pStyle w:val="OutcomeDescription"/>
              <w:spacing w:before="120" w:after="120"/>
              <w:rPr>
                <w:rFonts w:cs="Arial"/>
                <w:b w:val="0"/>
                <w:lang w:eastAsia="en-NZ"/>
              </w:rPr>
            </w:pPr>
            <w:r w:rsidRPr="00BE00C7">
              <w:rPr>
                <w:rFonts w:cs="Arial"/>
                <w:b w:val="0"/>
                <w:lang w:eastAsia="en-NZ"/>
              </w:rPr>
              <w:t>Annual resident/family satisfaction survey results reflect high levels of satisfaction with the services received.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 practitioner visits the facility two – four times a week (minimum of twelve hours) with 24/7 on-call services.  Physiotherapy services are provided 21 hours a week.  Two clinical pharmacists screen the medications of all new admissions.  Care plans reviewed reflected input from allied health professionals.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adverse events reviewed met this requirement.  Family members interviewed confirmed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Matua is a Radius aged care facility located in Tauranga.  The facility is certified to provide rest home, hospital (medical and geriatric), and dementia levels of care for up to 154 residents.  There were 145 residents living at the facility during this full certification audit: 58 residents were at rest home level of care, 67 at hospital level of care and 20 at dementia level of care.  Two residents were on respite (rest home level) and the remaining residents were on the aged 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This audit assessed the suitability of all but four (two double rooms with two beds in each) rest home beds in the rest home wings as suitable for dual-purpose use (either rest home or hospital level of care).  This included five studio apartments.  Overall, the audit verified 60 extra dual-purpose beds (including five studio units) giving a total of 128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2020/2021 business plan describes the vision, values, and objectives of Radius Matua.  Strategic goals under the headings of care leadership and management; finance leadership and management; risk management, business and services, and marketing and promotion are linked to the annual business plan.  Goals are reviewed a minimum of three-monthly and the business plan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been employed at Radius Matua for six years.  Previously, he has held managerial positions in the health sector.  The facility manager is supported by a clinical manager/RN and an assistant facility coordinator.  A regional manager provides additional support and was available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maintained over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assistant facility coordinator covers the facility manager in the absence of the facility manager.  Three team leaders/registered nurses (one rest home, one hospital, one dementia) cover during the absence of the clinical manager.  Radius has interim (roving) facility managers and clinical managers who cover extended absences.  The regional manager is a registered nurse who is available on a consultative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are reported across facility meetings and to the regional manager.  Discussions with the managers (regional manager, facility manager, and clinical manager/RN), and staff (assistant facility coordinator, four RNs, thirteen healthcare assistants (HCAs) who work across all three shifts, kitchen manager, maintenance manager, physiotherapist, two laundry staff, two housekeeping staff, one team leader/housekeeping, three activities staff) reflected their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meetings are three-monthly with evidence of their active participation.  Annual resident and relative surveys were last completed in November 2019 with 72 respondents.  Approximately 82% of residents and families who participated in the survey expressed their satisfaction of the expectations of Radius Matua.  The outcome of the survey and analysis report were reported at the quality meeting (14 January 2020).  Only one corrective action was necessary to address concerns regarding food temperatures, which has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The service's policies are reviewed at a national level by the clinical managers group, with input from facility staff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The facility has implemented established processes to collect, analyse and evaluate data, which are utilised for service improvements.  Internal audits are completed as per the audit schedule.  Quality results are communicated to staff in meetings and on staff noticeboards.  Corrective action plans are implemented where results reflect opportunities for improvements.  Corrective actions are signed off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number of quality improvements have been implemented since the previous audit (link to CIs 1.1.12.1,1.3.7.1).  In addition, an ACC pressure injury prevention programme is in the process of being rolled out.</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health and safety committee.  Two health and safety officers (assistant facility coordinator and maintenance staff) were interviewed during the audit.  They are supported by two health and safety representatives.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All new staff and contractors undergo a health and safety orientation programme with evidence sighted of staff and contractors participating in annual health and safety refresher programmes.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being implemented.  The physiotherapist assesses all new residents.  Re-assessments are completed six monthly and post falls.  Falls prevention classes, led by the physiotherapist, are held separately for rest home (two times/week, 30-minute duration) and hospital level (once per week, 15-minute duration).  Approximately eight hospital level residents who were identified as a high risk of falling between the hours of 4 pm – 7 pm are monitored in a group setting in the lounge with no evidence of further falls during this period of time.  This programme was initiated in June 2020.  Other interventions to reduce the risk of residents falling include (but are not limited to) intentional rounding, sensor mats, and perimeter mats.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action(s) required.  They are signed off by the clinical manager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18 incident/accident reports (17 witnessed and unwitnessed falls, one pressure injury), identified that the electronic forms are fully completed and included follow-up and investigation by a registered nurse.  Neurological observations are implemented for any suspected injury to the head and/or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regional manager are able to identify situations that would be reported to statutory authorities including (but not limited to) infectious diseases, serious accidents and unexpected death.  Public health authorities were notified for two suspected outbreaks (April 2019, April 2020).  Section 31 reports have been completed for pressure injuries and residents who have absconded and required the assistance of police.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Thirteen staff files reviewed (four RNs, six HCAs, two cleaners, one driver) included documentation to confirm a recruitment process was undertaken (interview process, reference checking, police checks).  Also sighted were signed employment contracts, job descriptions and completed orientation programmes.  A register of registered nursing staff and other health practitioner practising certificates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implemented annual education and training plan that exceeds eight hours annually.  Annual and two-yearly core compulsory topics are scheduled with staff expected to complete a written core competency for each topic (eg, code of rights, cultural safety, aging process, abuse/neglect, sexuality and intimacy, restraint minimisation, informed consent, communication, accident and incident reporting, infection control, emergency procedures, fire safety, health and safety, food handling, chemical handling, challenging behaviours, continence management).  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Fifteen HCAs are employed to work in the dementia unit.  Five have completed their dementia qualification (unit standards 2390, 2391, 23922 and 23923).  The remaining ten HCAs have been working in the unit for less than eighteen months and are in the process of completing their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Ten of twenty-four registered nurses have completed their interRAI training.  Completed competencies for registered nurses include (but are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Annual staff performance appraisals are undertaken.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and reflect safe staffing levels.  There are a minimum of two RNs and seven HCAs on site at any time.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 three rest home wings (Rata, Kowhai, Rimu) had 62 residents (5 hospital level and 57 rest home level).  The AM shift is staffed with a clinical team leader/RN five days a week (Monday – Friday).  One RN and eight HCAs (four long shift and four short shift (less than seven hours per shift)) cover the AM shift; one RN and six HCAs (four long and two short) cover the PM shift.  One RN and two HCAs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two hospital wings (Magnolia and Camelia) had 63 residents (62 hospital level and one rest home level).  The AM shift is staffed with a clinical team leader/RN five days a week (Monday – Friday).  An additional RN covers doctor rounds and completing interRAI reports three – four shifts per week.  Two RNs and eleven HCAs (eight long, three short) cover the AM shift, two RNs and nine HCAs (five long and four short) cover the PM shift.  One RN and three HCAs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dementia wing (Lavender) had 20 residents.  One RN and two HCAs cover the AM shift.  An additional RN covers doctor rounds and completes interRAI reports on Tuesdays.  The PM shift is staffed with three HCAs (two long and one short) and the night is staffed with two HCAs (one floating between wings).</w:t>
            </w:r>
          </w:p>
          <w:p w:rsidR="00EB7645" w:rsidRPr="00BE00C7" w:rsidP="00BE00C7">
            <w:pPr>
              <w:pStyle w:val="OutcomeDescription"/>
              <w:spacing w:before="120" w:after="120"/>
              <w:rPr>
                <w:rFonts w:cs="Arial"/>
                <w:b w:val="0"/>
                <w:lang w:eastAsia="en-NZ"/>
              </w:rPr>
            </w:pPr>
            <w:r w:rsidRPr="00BE00C7">
              <w:rPr>
                <w:rFonts w:cs="Arial"/>
                <w:b w:val="0"/>
                <w:lang w:eastAsia="en-NZ"/>
              </w:rPr>
              <w:t>Staff that were working on the days of the audit were visible and were attending to call bells in a timely manner as confirmed by the residents interviewed.  Staff interviewed stated that overall, the staffing levels are satisfactory and that the managers provide good support.  Residents and families interviewed reported there are sufficient numbers of staff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information (hard copy and electronic) is protected from unauthorised access.  Entries are legible, dated and signed by the relevant care staff or registered staff, including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 and short-term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paper-based and robotic pack system.  Medications are checked on arrival and any pharmacy errors recorded and fed back to the supplying pharmacy.  RNs administer all medications in the hospital.  RNs and medication competent HCAs administer medications in the rest home and dementia unit.  Staff attend annual education and have an annual medication competency completed.  All RNs are syringe driver trained by the hospice.  The medication room and medication fridge temperatures are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sheets.  Twenty-six medication charts were reviewed (ten hospital,  ten rest home and six dementia).  Medications are reviewed at least three-monthly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utilises clinical pharmacologists (Medwise) to assist with the overview of medications for residents.  Their focus is on reducing adverse drug events, medication errors and improving the effectiveness of medication therapy.  They work together with Matua nursing staff, the pharmacist, and the GPs.</w:t>
            </w:r>
          </w:p>
          <w:p w:rsidR="00EB7645" w:rsidRPr="00BE00C7" w:rsidP="00BE00C7">
            <w:pPr>
              <w:pStyle w:val="OutcomeDescription"/>
              <w:spacing w:before="120" w:after="120"/>
              <w:rPr>
                <w:rFonts w:cs="Arial"/>
                <w:b w:val="0"/>
                <w:lang w:eastAsia="en-NZ"/>
              </w:rPr>
            </w:pPr>
            <w:r w:rsidRPr="00BE00C7">
              <w:rPr>
                <w:rFonts w:cs="Arial"/>
                <w:b w:val="0"/>
                <w:lang w:eastAsia="en-NZ"/>
              </w:rPr>
              <w:t>The clinical pharmacologists (CPs) reconcile and review medications for residents being admitted to the facility to ensure that the prescribed medications are still appropriate for residents and that the dosages are correct according to their medical history.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CPs also reconcile and review medications for residents returning from hospital.  The CP found a returning resident who was on vitamin D when admitted to hospital did not have it transcribed to the new medication chart.  Given that there was a past history of fractures and biophosphonate treatment it seemed likely this was an unintentional omission and after querying this the vitamin D was restarted. </w:t>
            </w:r>
          </w:p>
          <w:p w:rsidR="00EB7645" w:rsidRPr="00BE00C7" w:rsidP="00BE00C7">
            <w:pPr>
              <w:pStyle w:val="OutcomeDescription"/>
              <w:spacing w:before="120" w:after="120"/>
              <w:rPr>
                <w:rFonts w:cs="Arial"/>
                <w:b w:val="0"/>
                <w:lang w:eastAsia="en-NZ"/>
              </w:rPr>
            </w:pPr>
            <w:r w:rsidRPr="00BE00C7">
              <w:rPr>
                <w:rFonts w:cs="Arial"/>
                <w:b w:val="0"/>
                <w:lang w:eastAsia="en-NZ"/>
              </w:rPr>
              <w:t>The CPs also screen the medications of residents who are due three-monthly reviews to ensure that their medications are still relevant.  They discuss any interactions or possible side effects and assist with reducing medications that are no longer needed.  A resident who had been on Loratidine 10mg BD since 2014 was changed to Loratidine PRN and was thrilled to be taking one less medication.  When interviewed the GP stated that he found the pharmacologist three monthly reviews extremely time saving for him.</w:t>
            </w:r>
          </w:p>
          <w:p w:rsidR="00EB7645" w:rsidRPr="00BE00C7" w:rsidP="00BE00C7">
            <w:pPr>
              <w:pStyle w:val="OutcomeDescription"/>
              <w:spacing w:before="120" w:after="120"/>
              <w:rPr>
                <w:rFonts w:cs="Arial"/>
                <w:b w:val="0"/>
                <w:lang w:eastAsia="en-NZ"/>
              </w:rPr>
            </w:pPr>
            <w:r w:rsidRPr="00BE00C7">
              <w:rPr>
                <w:rFonts w:cs="Arial"/>
                <w:b w:val="0"/>
                <w:lang w:eastAsia="en-NZ"/>
              </w:rPr>
              <w:t>The CPs also review medications in the community and if these people are admitted to Matua the CPs are able to provide an up-to-date medication history to the GP and pharmacist.</w:t>
            </w:r>
          </w:p>
          <w:p w:rsidR="00EB7645" w:rsidRPr="00BE00C7" w:rsidP="00BE00C7">
            <w:pPr>
              <w:pStyle w:val="OutcomeDescription"/>
              <w:spacing w:before="120" w:after="120"/>
              <w:rPr>
                <w:rFonts w:cs="Arial"/>
                <w:b w:val="0"/>
                <w:lang w:eastAsia="en-NZ"/>
              </w:rPr>
            </w:pPr>
            <w:r w:rsidRPr="00BE00C7">
              <w:rPr>
                <w:rFonts w:cs="Arial"/>
                <w:b w:val="0"/>
                <w:lang w:eastAsia="en-NZ"/>
              </w:rPr>
              <w:t>The GPs and pharmacist now consult with the CPs when implementing/making medication changes or request a review if they require advice.  A resident’s laboratory report showed low magnesium and low potassium.  The GP consulted with the CP regarding treatment and the resident was commenced on the recommended medications.</w:t>
            </w:r>
          </w:p>
          <w:p w:rsidR="00EB7645" w:rsidRPr="00BE00C7" w:rsidP="00BE00C7">
            <w:pPr>
              <w:pStyle w:val="OutcomeDescription"/>
              <w:spacing w:before="120" w:after="120"/>
              <w:rPr>
                <w:rFonts w:cs="Arial"/>
                <w:b w:val="0"/>
                <w:lang w:eastAsia="en-NZ"/>
              </w:rPr>
            </w:pPr>
            <w:r w:rsidRPr="00BE00C7">
              <w:rPr>
                <w:rFonts w:cs="Arial"/>
                <w:b w:val="0"/>
                <w:lang w:eastAsia="en-NZ"/>
              </w:rPr>
              <w:t>Positive feedback has been received from the GPs, pharmacist, nursing staff, residents, and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and all food is cooked on site.  There is a food services manual in place to guide staff.  A resident nutritional profile is developed for each resident on admission and provided to the kitchen staff.  This document is reviewed at least six-monthly as part of the care plan review.  The kitchen is able to meet the needs of residents who need special diets and the kitchen manager works closely with the RNs on duty.  The kitchen manager is also informed of any residents who have lost or gained weight where interventions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The kitchen staff have completed food safety training.  The kitchen manager (chef) and cooks follow a rotating seasonal menu, which has been reviewed by a dietitian (May 2020).  The temperatures of refrigerators, freezers and cooked foods are monitored and recorded.  There is special equipment available for residents if required.  All food is stored appropriately.  Residents and the family members interviewed were satisfied with the quality and variety of food served.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has recently started introducing new initiatives to engage residents in meals.  This has included a weekly breakfast that varies and is ‘café’ like in style. Residents interviewed stated that they had noted improvements in presentation since the new kitchen manager has been appointed.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confirms registration with expiry of this 31 March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prospective residents should this occur and communicates this to prospective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not limited to) pain, behaviour, nutrition,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and provide detail to guide care.  Care plans are updated with acute changes in health status.  Residents and relatives interviewed stated that they were involved in the care planning process.  There was evidence of service integration with documented input from a range of specialist care professionals including the clinical pharmacologist, wound care nurse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r w:rsidRPr="00BE00C7">
              <w:rPr>
                <w:rFonts w:cs="Arial"/>
                <w:b w:val="0"/>
                <w:lang w:eastAsia="en-NZ"/>
              </w:rPr>
              <w:t>Care plans for dementia residents include management of behaviours and de-escalation techniques.  Electronic behaviour monitoring charts are completed as required.  The DT outlines activities that are available for dementia residents over a 24-hour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electronic incident forms and written in the electronic progress notes.  Neurological observations are taken when there is a head ‘knock’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electronic forms are in place for all wounds.  Wound monitoring occurs as planned.  There are currently 43 wounds being treated.  The majority of these are minor.  There are currently 21 pressure injuries.  Twenty are facility acquired and one is non-facility acquired.  There has been GP and wound care nurse specialist input.  Photos have been taken.  The facility is concerned at the high numbers and currently has a quality project around prevention and management of pressure injuries as well as staff education (link 1.2.3). The facility is currently undertaking a quality project with ACC around prevention and management of pressure injuries as well as staff education.  They were concerned with the high numbers and were keen to participate in this project with ACC.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activities coordinator/diversional therapist is employed full time to coordinate the activities programme for all residents.  She is supported by three activities coordinators who provide a separate programme for each area (rest home, hospital, and dementia) with an additional full-time activity assistant employed to begin the end of September 2020.  Each resident has an individual activities assessment on admission.  Based on this information, an individual activities plan is developed as part of the care plan by the registered nurses with input from the activities staff.  Each resident is free to choose whether they wish to participate in the group activities programme or their individual plan. Significant time is dedicated to one-on-one activities.  Participation is monitored.  Group activities reflect ordinary patterns of life and include planned visits to the community.  The residents’ files sampled included activities plans within the care plans that are evaluated at least six-monthly when the care plans are evaluated.  Residents in the dementia unit have plans that include activities to manage behaviours over the 24-hour period and staff provide activities when activities staff are not present.  Residents and families interviewed commented positively on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exceeded the standard around the provision of activities to meet the needs of residents, resulting in a rating of continuous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plans reviewed had been evaluated by the registered nurse six monthly or when changes to care occurred. Any changes to care are updated in the care plan    Activities plans are in place for each of the residents and these are also evaluated six-monthly.  The case conference reviews involve the RN, GP, clinical pharmacologist,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electronic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and the hospice.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February 2020, the  facility had implemented a waste reduction programme with the intention of reducing waste and replacing environmentally damaging items within the facility with more user friendly environmentally sustainable products.  This project has already shown some benefits for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The building has a number of alcoves and lounge areas in each unit.  There is a full-time maintenance person employed to address the reactive and planned maintenance programme.  All medical and electrical equipment was recently serviced and or calibrated.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including a mobility scooter parking/charging bay.  The external area is well maintained.  Residents have access to safely designed external areas that have shade.  There is an interesting and secure garden for the dementia unit.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This certification audit has verified 60 rest home beds as dual-purpose beds.  These include five studio units.  All rooms have a one and half door for ease of access for mobility aids and equipment.  There is sufficient space in all dual-purpose rooms to allow for mobility aids, staff to support each resident and for any emergency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Most bedrooms have their own ensuites and some have shared ensuites.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including those required by hospital level care residents in the dual-purpose and hospital level rooms.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include the main lounge and several smaller lounges and separate dining areas in each of the rest home, hospital, and dementia units.  The communal areas are easily and safely accessible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cleaned by dedicated cleaning staff.  They have access to a range of chemicals, cleaning equipment and protective clothing.  The standard of cleanliness is monitored through the internal audit programme.  Residents and relatives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All laundry is done in the on-site commercial laundry by dedicated laundry staff.  Residents and relatives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There is a minimum of one first aid trained staff member on every shift and during outings.  The facility has an approved fire evacuation plan.  Fire drills take place every six months.  Smoke alarms, sprinkler system and exit signs are in place.  Gas barbeques and torches are available in the event of a power failure.  Emergency lighting is in place, which is regularly tested.  A civil defence kit is in place.  Supplies of stored water and food are held on site and are adequate for three days.  Electronic call bells are evident in residents’ rooms, lounge areas, and toilets/bathrooms.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kept locked from dusk to dawn.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Matua has an established infection control programme.  The infection control programme, its content and detail, is appropriate for the size, complexity and degree of risk associated with the service.  It is linked into the incident reporting system and the Radius KPIs.  The clinical manager is the designated infection control nurse with support from the registered nurses and the quality management committee (infection control team).  Minutes are available for staff.  Audits have been conducted and include hand hygiene and infection control practices.  Education is provided for all new staff on orientation.  The Radius infection control programme was last reviewed in July 2016.</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managed the current Covid 19 pandemic well. There has been ongoing information to all staff around how to manage any case of Covid 19 should there be one and process put in place as per policy. This has included instructions around visiting at each level, management of staff and use of PPE. There is sufficient PPE on site to manage should this be required for an outbreak including a case of COVID for at least two weeks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at Matua is the designated infection control (IC) nurse.  There are adequate resources to implement the infection control programme for the size and complexity of the organisation.  The IC nurse and IC team (comprising the quality management team and care staff) has good external support from the local laboratory infection control team and IC nurse specialist at the DHB.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Radius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Radius clinical management team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document infection prevention and control surveillance methods.  The surveillance data is collected and analysed monthly to identify areas for improvement or corrective action requirements.  Infection control internal audits have been completed.  Infection rates have generally been low.  Trends are identified and quality initiatives are discussed at staff and quality meetings.  There is a policy describing surveillance methodology for monitoring of infections.  Definitions of infections are in place appropriate to the complexity of service provided.  Systems are in place that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owner/manager and at staff meetings. Meeting minutes are available to staff.  Trends are identified,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norovirus outbreak in April/May 2019 with documentation showing that this was well managed in conjunction with infection control specialists.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policies and procedures are comprehensive, and include definitions, processes and use of restraints and enablers.  The facility is restraint free.  The restraint coordinator is the clinical manager who is supported by the previous restraint coordinator (physiotherapist).  Both individuals were interviewed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There was one enabler (lap belt on a wheelchair) in use at the time of the audit.  Evidence of signed consent by the resident for the enabler was sighted.  This resident had the enabler linked to their care plan and the enabler is reviewed a minimum of three monthly.</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covering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403"/>
        <w:gridCol w:w="83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access to visitors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Matua has put in place strategies to ensure that residents and family members have opportunities to communicate with each other during the lockdown period of the pandemic and initiatives to ensure that all are kept informed of facility and practice changes resulting from Ministry of Health and Public Health directives during the pandemic. The initiatives have exceeded the required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had introduced two projects at the last audit to improve communication with residents’ families.  The Sparkles group was introduced in July 2015 to welcome new residents/families to enable them to feel involved in the “Lavender” (dementia unit) and to educate families regarding dementia and enable them to liaise with the community and voice concerns.  The second initiative was to improve the attendance of family/whānau of choice at the residents’ forum meetings.  Both initiatives have continued and improved noting that during the pandemic at level four and level three, these initiatives were suspended as family were not permitted to come into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 pandemic and lockdown periods, the managers and key staff maintained constant communication with residents and family.  This included communicating through email and through newsletters which were sent out to family each workday.  Communication to family included updates from the facility, around the facilities Covid status, residents’ wellbeing, activities, highlights of their day and points of interest.  Once the lockdown period ended, the newsletters have continued to be sent out weekly. Staff stated that this has improved communication with family who live overseas.  During the lockdown period the activities team enabled residents to link with family on “video chats” through the use of messenger, with a link set up specifically for families and friends to book a time to be able to speak to the residents.  There were approximately 50 video chats each week.  The facility has continued with this form of contact for “out of town” families and those unable to visit for whatever reason.  Staff and managers increased the number of one-to-one chats so that residents were kept well informed of changes at the facility during the pandemic.  Successes of the strategies put in place have been measured in the commitment to continuing the initiatives, the positive comments from family and residents and the volume of letters and emails that thanked the staff for the initiatives.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was enhanced significantly during the Covid 19 lockdown.  In addition, the service has introduced a selection of new activities (implemented in 2019 and 2020) that meet and exceed the needs of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Covid lockdown, the activities staff increased the level of resident participation in activities to compensate for this stressful period.  Extra time was dedicated for one-on-one support.  Often arm and hand massages were added to these one-on-one visits.  Activities staff reported that they filled in for roles that family previously fulfilled with examples provided (eg, shopping, reading bible).  A daily schedule was implemented for video chats with family and activities staff often assisted with these chats if residents were hard of hearing or were unable to operate an iPad computer.  Shopping requests for residents was another added feature during lockdown.  Since lockdown has ended and the activities programme has been evaluated, these initiatives are planned to continue, and an additional full-time activities staff has been employed (effective end of September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activities programmes implemented reflect activities that have given residents a sense of purpose.  The activities staff initiated of the twelve acts of kindness in 2019 whereby residents were involved in twelve acts of kindness during Christmas 2019 (eg, making cupcakes for blood bank, firefighters, and St Johns ambulance, donation for SPCA, knitted blankets and hats for Plunket).  This has been slightly modified and extended in 2020 with the residents currently involved in fundraising for charities of their choice (SPCA, Cancer Society, Waipuna Hospice, Plunket, and Fred Hollows).  Up to sixty residents have participated in these programmes including those in the dementia unit who are involved in gardening projects.  Residents interviewed commented that these charitable contributions have given them added purpose in their lives and that they wish to continue with their fundraising efforts.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Matua Lifecare</w:t>
    </w:r>
    <w:bookmarkEnd w:id="58"/>
    <w:r>
      <w:rPr>
        <w:rFonts w:cs="Arial"/>
        <w:sz w:val="16"/>
        <w:szCs w:val="20"/>
      </w:rPr>
      <w:tab/>
      <w:t xml:space="preserve">Date of Audit: </w:t>
    </w:r>
    <w:bookmarkStart w:id="59" w:name="AuditStartDate1"/>
    <w:r>
      <w:rPr>
        <w:rFonts w:cs="Arial"/>
        <w:sz w:val="16"/>
        <w:szCs w:val="20"/>
      </w:rPr>
      <w:t>1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