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Terrace View Lifecare Limited - Terrace View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Terrace View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Terrace View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September 2020</w:t>
      </w:r>
      <w:bookmarkEnd w:id="7"/>
      <w:r w:rsidRPr="009418D4">
        <w:rPr>
          <w:rFonts w:cs="Arial"/>
        </w:rPr>
        <w:tab/>
        <w:t xml:space="preserve">End date: </w:t>
      </w:r>
      <w:bookmarkStart w:id="8" w:name="AuditEndDate"/>
      <w:r w:rsidR="00A4268A">
        <w:rPr>
          <w:rFonts w:cs="Arial"/>
        </w:rPr>
        <w:t>3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Terrace View Retirement Village can provide rest home and hospital level care for up to 63 residents.  The facility contract allows for beds to be used flexibly, which provides a mix of rest home and hospital beds. In addition apartment or care suites are available for privately paying residents or can be used as flexi beds.  The service is operated by Ennor Investments Limited and managed by a facility manager and a clinical nurse manager, who have both been in their positions for approximately four years.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one area of continuous improvement being identified, relating to the reduction of staff workplace injuries, particularly around falls prevention. Two areas requiring improvement are raised in relation in staff training records, and staffing levels in response to resident acuity.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families/whānau are provided with information about the Health and Disability Commissioner’s Code of Health and Disability Services Consumers’ Rights (the Code) and these were observed to be respected. Services are provided in a way that supports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Open communication between staff, residents, and family/whānau is promoted and confirmed to be effective. There is access to interpreting services if required. Staff provide residents and family/whānau with appropriate information required to make informed choices and give consent.</w:t>
      </w:r>
    </w:p>
    <w:p w:rsidRPr="00A4268A">
      <w:pPr>
        <w:spacing w:before="240" w:line="276" w:lineRule="auto"/>
        <w:rPr>
          <w:rFonts w:eastAsia="Calibri"/>
        </w:rPr>
      </w:pPr>
      <w:r w:rsidRPr="00A4268A">
        <w:rPr>
          <w:rFonts w:eastAsia="Calibri"/>
        </w:rPr>
        <w:t>Residents who identify as Māori have their needs meet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and compliments system is in place and a complaint register is maintained and demonstrated that complaints were resolved promptly and effectively. Complaints are considered as an opportunity for quality improvement.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current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resident/family/whānau.</w:t>
      </w:r>
    </w:p>
    <w:p w:rsidRPr="00A4268A" w:rsidP="00621629">
      <w:pPr>
        <w:spacing w:before="240" w:line="276" w:lineRule="auto"/>
        <w:rPr>
          <w:rFonts w:eastAsia="Calibri"/>
        </w:rPr>
      </w:pPr>
      <w:r w:rsidRPr="00A4268A">
        <w:rPr>
          <w:rFonts w:eastAsia="Calibri"/>
        </w:rPr>
        <w:t>Residents’ needs are assessed on admission by a multidisciplinary team, including a registered nurse and general practitioner. Care plans are individualised, based on a comprehensive range of information, and accommodate any problems that arise. Files reviewed demonstrated that the care provided and needs of residents are reviewed and evaluated on a regular basis within required time frames.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meaningful activities for both individuals and groups while maintaining links with the community.</w:t>
      </w:r>
    </w:p>
    <w:p w:rsidRPr="00A4268A" w:rsidP="00621629">
      <w:pPr>
        <w:spacing w:before="240" w:line="276" w:lineRule="auto"/>
        <w:rPr>
          <w:rFonts w:eastAsia="Calibri"/>
        </w:rPr>
      </w:pPr>
      <w:r w:rsidRPr="00A4268A">
        <w:rPr>
          <w:rFonts w:eastAsia="Calibri"/>
        </w:rPr>
        <w:t>Medicines are safely managed and administered by competently trained staff.</w:t>
      </w:r>
    </w:p>
    <w:p w:rsidRPr="00A4268A" w:rsidP="00621629">
      <w:pPr>
        <w:spacing w:before="240" w:line="276" w:lineRule="auto"/>
        <w:rPr>
          <w:rFonts w:eastAsia="Calibri"/>
        </w:rPr>
      </w:pPr>
      <w:r w:rsidRPr="00A4268A">
        <w:rPr>
          <w:rFonts w:eastAsia="Calibri"/>
        </w:rPr>
        <w:t>The food service meets the nutritional needs of the residents with special requirements catered for. Food is safely managed, and residents expressed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Terrace View Retirement Village is a modern purpose-built facility, with integrated services and utilities which meet the needs of residents. The facility was clean and well maintained, and there was a current building warrant of fitness on display.  Electrical equipment has been tested as required. Communal and individual spaces are maintained at a comfortable temperature, and there are a number of accessible external areas.</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A fire evacuation plan is in place, and procedures are regularly practised.  A centralised call bell system is in place, and residents reported timely staff response times.  Security is maintained through the use of an electronic access control system.</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Use of enablers is voluntary for the safety of residents in response to individual requests. No restraints were in use.  A comprehensive assessment, approval and monitoring process with regular reviews occurs, and was clearly documented.  Staff have received training on restraint minimisation and enabler use and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coordinator, aims to prevent, control/contain, and manage infections. The programme is reviewed annually. Specialist infection and control advice is accessed as required.</w:t>
      </w:r>
    </w:p>
    <w:p w:rsidRPr="00A4268A">
      <w:pPr>
        <w:spacing w:before="240" w:line="276" w:lineRule="auto"/>
        <w:rPr>
          <w:rFonts w:eastAsia="Calibri"/>
        </w:rPr>
      </w:pPr>
      <w:r w:rsidRPr="00A4268A">
        <w:rPr>
          <w:rFonts w:eastAsia="Calibri"/>
        </w:rPr>
        <w:t xml:space="preserve">Terrace View Retirement Village followed Ministry of Health guidelines for alert levels throughout the restrictions for Covid-19. These guidelines were printed for staff in all departments and staff were expected to sign that they understood them. A norovirus outbreak that occurred in June 2020 was handled in a manner that kept infection to a minimum. Extra staff education was undertaken, and measures put in place to limit both staff and resident exposure. Correct procedures were followed, with logs kept and the community and public health team notified appropriately. </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implemented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22"/>
        <w:gridCol w:w="1280"/>
        <w:gridCol w:w="89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Terrace View Retirement Village (Terrace View)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then biannually (last completed 15 July 2019)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Seven clinical files reviewed showed that informed consent has been gained appropriately using the organisation’s standard consent form. Advance care planning, establishing and documenting enduring power of attorney requirements and processes for residents unable to consent are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manager provided an example of a resident requiring an advocate regarding family issues. In this instance the facility manager filled the role of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Residents are assisted to be ready for any transport picking them up to attend community groups that they are a part of, such as Rotary.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normally has unrestricted visiting hours and encourages visits from residents’ family and friends. Family members interviewed stated they felt welcome when they visited and comfortable in their dealings with staff. During Covid-19 restrictions video chats and phone calls were utilised to connect residents to friends and family outside the facility. Family interviewed stated that they appreciated the efforts taken by staff during this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make a complaint.  Staff interviewed were able to state what they would do if a resident or family member wished to make a complaint.  Complaints forms were available at reception.  The facility manager stated that residents and family members often call in to her office for discussions and if there were issues these would be raised.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in place, which provides details of complaints made. The complaint register recorded that there were five complaints made in 2019, and two complaints are recorded so far for 2020. The register recorded who is managing the complaint, and the status of the complaint. Complaints reviewed showed that complaints were managed in a timely manner in line with their policies and the funders expectations. Action plans showed any required follow up and improvements have been made where possible.  One Health and Disability Commissioner’s complaint has been received in the past year. Detailed documentation was viewed of the process, timeline and actions taken regarding this complaint.  The organisation provided all required documentation to the commissioner’s office, and the complaint has now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Residents/families/whānau interviewed were aware of the Code and had received opportunities to discuss it with staff. They received a copy of the Code, and the Nationwide Health and Disability Advocacy Service (Advocacy Service) as part of the admission pack, provided prior to admission. The Code was displayed inside the main entrance and brochures were available at reception, together with information on the Advocacy Service, and complaint/compliment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Residents/families/whānau confirmed that they received services in a manner that has regard for their personal privacy, dignity and respect. Staff were observed offering choices and encouraging independence in activities of daily living. All residents have a private room/suite that are designed to cater for their needs from admission through all levels of care. Care plans included documentation relating to the residents’ abilities and strategies to maximise independence. Residents can continue with community activities, such as Bridge Club, independently.</w:t>
            </w:r>
          </w:p>
          <w:p w:rsidR="00EB7645" w:rsidRPr="00BE00C7" w:rsidP="00BE00C7">
            <w:pPr>
              <w:pStyle w:val="OutcomeDescription"/>
              <w:spacing w:before="120" w:after="120"/>
              <w:rPr>
                <w:rFonts w:cs="Arial"/>
                <w:b w:val="0"/>
                <w:lang w:eastAsia="en-NZ"/>
              </w:rPr>
            </w:pPr>
            <w:r w:rsidRPr="00BE00C7">
              <w:rPr>
                <w:rFonts w:cs="Arial"/>
                <w:b w:val="0"/>
                <w:lang w:eastAsia="en-NZ"/>
              </w:rPr>
              <w:t>Seven files reviewed demonstrated evidence of information on each resident’s individual cultural, religious, and social needs. These were incorporated into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and were familiar with the process if signs were observed. Education sessions are held on abuse and neglect on a biannual cycle (18 April 2019). Families/whānau interviewed had never witnessed any form of abuse, neglect, or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able to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On the day of audit there were no residents or staff that identified as Māori. Training on cultural safety and the Treaty of Waitangi is part of staff orientation and on a biannual cycle (last completed 11 April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(eg, those that wished to attend church services).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wound care specialist, dietitian,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Registered nurses are encouraged to complete post graduate study, while care staff are supported to complete level four New Zealand Qualification Authority (NZQA)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this has not been required due to all residents being able to speak English and the use of family members and communication cards for those with communication difficulties.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the monthly reports to the directors were viewed. These reports were comprehensive and showed adequate information to monitor performance, which included financial performance, emerging risks and issues. The reports included information from previous months so that trends can be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for four years. Responsibilities and accountabilities were defined in a job description and individual employment agreement.  The facility manager confirmed knowledge and experience of the sector, including the regulatory and reporting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Canterbury DHB for aged care, YPD, respite care, complex medical conditions, and palliative care. The facility manager stated all beds (63) can be used for DHB contracted patients/residents.  There are private paying residents some of whom have Occupational Rights Agreements (ORA).  At the time of audit 41 residents, with 26 under hospital level care (two with an ORA agreement) and 15 under the rest home contract. No one was receiving palliative care or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nurse manager takes over the responsibility for the day to day management of the facility. When the clinical nurse manager is absent, one of the experienced registered nurses performs the clinical manager role and takes responsibility for any clinical issues that may arise. When the maintenance manager is absent the preferred contractors are engaged to directly address any issues that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uses the policies and templates developed by an external quality contractor for its planned quality and risk system.  These reflected the principles of continuous quality improvement and included a quality and risk plan and an internal audit schedule. The management of incidents and complaints, as well as clinical indicators, such as falls, infections, and pressure injuries, are recorded into the system, which allows for reports to be generated and for analysis and benchmarking to be undertaken.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management meeting minutes reviewed confirmed regular review and analysis of quality indicators and that related information is reported and discussed at the staff meetings.  Monthly management reports reviewed showed quality and risk being communicated to the directors, with sufficient data provided to allow for trend analysis.  Staff reported their involvement in quality and risk management activities through discussions at staff meetings, involvement in policy review, and feedback from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quality contractor’s web portal allows for the central collection of data. From this data specific monthly reports are generated. The reports reviewed included adverse event and infection data, which included benchmarking and trending analysis. A corrective action log is in place to address any shortfalls and is reviewed at the monthly management meeting. There have been a number of different surveys developed to gather feedback from stakeholders. In the past year residents, family, food, and staff satisfaction surveys have all been completed. Areas of action are discussed at management meetings and entered into the corrective action register. Examples of actions taken in response to survey feedback included the decision to contract out the kitchen and meals to a food services contractor and the decision to provide the main meal in the evening.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Projects for continuous improvement are being actively undertaken.  Six were sighted as part of this audit that included a review of food services, addressing interRAI completion rates, activities planning during the Covid-19 lockdown, reducing ACC costs by reducing staff slips, trips and falls, increasing health care assistant (HCA) qualifications, and the management of a norovirus outbreak.  These were reviewed and demonstrated planning, action and the commencement of monitoring; however, measurement of the outcome of the improvements were not established at the start of each of these projects, which made it difficult to measure the level of improvement achieved. The project relating to reducing staff slips, trips and falls in partnership with ACC achieved a reduction in staff slips, trips and fall injuries (refer criterion 1.4.2.1).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provided by the external quality contractor and are reviewed by staff to ensure they meet the organisation’s requirements. The policies covered all necessary aspects of the service and contractual requirements, including reference to the interRAI Long Term Care Facility (LTCF) assessment tool and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 control system ensures a systematic and regular review process is in place, which included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There are identified health and safety representatives and health and safety issues are discussed at both the management and staff meetings. The risk and hazard registers were discussed and reviewed each month by the facility manager and the management team at their monthly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adverse event form. A sample of adverse events forms reviewed showed these were fully completed. Adverse events were investigated and actions followed-up in a timely manner.  Each month adverse event data is collated, summarised and analysed, and an adverse summary is available electronically. Adverse events are discussed at the monthly management meetings and actions assigned or followed up. Minutes of these meetings were sighted which showed that discussion around adverse events were a standard agenda item. The clinical nurse manager also discusses and provides feedback on adverse events at staff meetings, which again was evident from the meeting minutes that were reviewed. A summary of adverse events is also included in the facility manager’s monthly report to the directors, which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There have been two notifications of significant events made to the Ministry of Health since the previous audit, and records of these notification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were being consistently implemented and all required human resources documentation was present.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was comprehensive and included training on all necessary components relevant to the role. Signed checklists were used to record each part of the orientation process, which are placed on the employee’s file. The orientation process also includes the buddying of new staff for up to two weeks, depending on the new employee’s experience. Staff reported that the orientation process prepared them well for their role and that they felt well supported.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core training requirements, which are outlined in the training plan. Training is provided biennially, annually or biannually, and delivered either internally or by external contractors, depending on the topic. Care staff have either completed or commenced a New Zealand Qualification Authority education programme to meet the requirements of the provider’s agreement with the DHB. Two care staff were currently enrolled in this programme and were working towards qualifications.  Training records viewed showed that regular training is being provided; however, records do not confirm that all staff have completed all regularly required training.</w:t>
            </w:r>
          </w:p>
          <w:p w:rsidR="00EB7645" w:rsidRPr="00BE00C7" w:rsidP="00BE00C7">
            <w:pPr>
              <w:pStyle w:val="OutcomeDescription"/>
              <w:spacing w:before="120" w:after="120"/>
              <w:rPr>
                <w:rFonts w:cs="Arial"/>
                <w:b w:val="0"/>
                <w:lang w:eastAsia="en-NZ"/>
              </w:rPr>
            </w:pPr>
            <w:r w:rsidRPr="00BE00C7">
              <w:rPr>
                <w:rFonts w:cs="Arial"/>
                <w:b w:val="0"/>
                <w:lang w:eastAsia="en-NZ"/>
              </w:rPr>
              <w:t>There were sufficient trained and competent registered nurses who are maintaining their annual competency requirements to undertake interRAI assessments. Records reviewed demonstrated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 has been in place for four years with some minor adjustments to assist with staffing.  There is a documented policy and tools for individual assessment of acuity level.  The manager and clinical nurse manager meet regularly to discuss staff as part of their managers’ meeting; however, the acuity information is not used to inform this meeting.  The review of occupancy data over the past year showed a shift in resident acuity, with an increase in hospital level beds and a decrease in rest home beds.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felt the care staff were available and responded to their needs in a timely manner. Call bell monitoring data reviewed showed that calls bells were responded to, the majority of the time, in a timely manner with occasions when a person might wait around ten minutes.  This is regularly monitored by the manager.</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roster over a four-month period, and interview with the clinical nurse manager showed that it can be difficult to provide adequate replacement staff to cover any unplanned absence. This resulted in existing staff working additional hours, the clinical nurse manager working to provide cover, or the shift being left unfilled, on some occasions.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Seven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Admissions are encouraged between the hours of 8 am to 3 pm to ensure medications can be obtained from the pharmacy.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processes were followed.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days of the audit. The staff observed demonstrated good knowledge and had a clear understanding of their roles and responsibilities related to each stage of medicine management. All staff who administer medicines are competent to perform the function they manage.  The medication round observed was handled in a safe and appropriate manner.</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On arrival, the night staff check the medication against the prescription and enter it into Medi-map.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charts. </w:t>
            </w:r>
          </w:p>
          <w:p w:rsidR="00EB7645" w:rsidRPr="00BE00C7" w:rsidP="00BE00C7">
            <w:pPr>
              <w:pStyle w:val="OutcomeDescription"/>
              <w:spacing w:before="120" w:after="120"/>
              <w:rPr>
                <w:rFonts w:cs="Arial"/>
                <w:b w:val="0"/>
                <w:lang w:eastAsia="en-NZ"/>
              </w:rPr>
            </w:pPr>
            <w:r w:rsidRPr="00BE00C7">
              <w:rPr>
                <w:rFonts w:cs="Arial"/>
                <w:b w:val="0"/>
                <w:lang w:eastAsia="en-NZ"/>
              </w:rPr>
              <w:t>There were eight residents who self-administer medications at the time of audit. Education had been provided and an assessment completed by the RN and signed by the GP. Staff check on medication rounds and document as the dose is supplied. The process is reviewed three monthly by the GP.</w:t>
            </w:r>
          </w:p>
          <w:p w:rsidR="00EB7645" w:rsidRPr="00BE00C7" w:rsidP="00BE00C7">
            <w:pPr>
              <w:pStyle w:val="OutcomeDescription"/>
              <w:spacing w:before="120" w:after="120"/>
              <w:rPr>
                <w:rFonts w:cs="Arial"/>
                <w:b w:val="0"/>
                <w:lang w:eastAsia="en-NZ"/>
              </w:rPr>
            </w:pPr>
            <w:r w:rsidRPr="00BE00C7">
              <w:rPr>
                <w:rFonts w:cs="Arial"/>
                <w:b w:val="0"/>
                <w:lang w:eastAsia="en-NZ"/>
              </w:rPr>
              <w:t>There was an implemented process for comprehensive analysis of any medication errors. Errors that had been reported were handled according to protocol.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company that provides both the meals and the kitchen staff. This is a new contract that commenced recently.  Meals provided are in line with recognised nutritional guidelines for older people.  The menu follows summer and winter patterns and has been reviewed by a qualified dietitian within the last two years (1 May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complied with current legislation and guidelines. The service operates with an approved food safety plan and registration issued by Ministry for Primary Industries (26 May 2020).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from satisfaction surveys and resident meeting minutes.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r w:rsidRPr="00BE00C7">
              <w:rPr>
                <w:rFonts w:cs="Arial"/>
                <w:b w:val="0"/>
                <w:lang w:eastAsia="en-NZ"/>
              </w:rPr>
              <w:t>Birthdays and special activity days are celebrated with cakes.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enter the facility and remain through all levels of care. If it becomes unsafe for a resident to continue receiving care at Terrace View then a referral is sent to the NASC assessment team for reassessment and family are supported to find another provider in consultation with the GP.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admission agreement that allows for termination of a resident’s placement.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clinical information is gained using validated nursing assessment tools, such as a pain scale, falls risk, skin integrity, nutritional screening and depression scale, as a means to identify any deficits and to inform care planning. The seven care plans reviewed had an integrated range of resident-related information.  All residents have current interRAI assessments completed by one of four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care plans reviewed reflected the support needs of residents, and the outcomes of the integrated assessment process and other relevant clinical information. The triggers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interventions are followed and care is of an ‘excellent quality’. Care staff confirmed that care was provided as outlined in the documentation and amendments to care were informed through the handover process. A range of equipment and resources was available, suited to the levels of care provided and in accordance with the residents’ needs, such as hoists and pressure relieving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trained diversional therapists holding the national Certificate in Diversional Therapy and an activities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An activity care plan is developed, and assessments are regularly reviewed to help formulate an activities programme that is meaningful to the residents. The residents’ activity programme is evaluated through residents’ meeting minutes, satisfaction surveys and as part of the formal six-monthly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such as newspaper reading, shopping trips, card games movies and exercises. Individual, group activities and regular events are offered. Residents and families/whānau interviewed expressed that the activities were appropriate and enjoyable.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 The care staff are required to give a verbal handover to the RN before leaving.</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urinary tract infections and wounds. When necessary, and for unresolved problems, long term care plans are added to and updated. Five of the seven files reviewed had changes made to interventions that had been signed and dated, as was appropriate. Residents and families/whānau interviewed provided examples of involvement in evaluation of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Residents remain under their GP, unless transferring from out of town. If the need for other non-urgent services are indicated or requested, the RN in consultation with the GP sends a referral to seek specialist input. Copies of referrals were sighted in residents’ files, including to the dietitian, NASC team, and wound specialist. A physiotherapist visits on a weekly basis and there is a book for referrals to be documented in.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The maintenance manager oversees the waste management for the site, with dedicated secure areas for the storage of waste until it is collected. The chemicals are provided from a single supplier, and these are stored securely. There is a pre-set chemical dispenser which is used for decanting and diluting the chemicals in use. The supplier provides chemical handling training for service providers, and material safety data sheets were sighted and are available adjacent to the chemical dispenser. Good stocks of appropriate personal protective equipment (PPE) were available to service providers when handling chemicals, infectious materials, or undertaking cleaning tasks,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Terrace View facility is a modern building that is seven years old. The physical environment is light, spacious and well maintained. It has comprehensive building systems in place to ensure the residents are safe and secure, which includes a range of backup systems to cope if utility services are lost. A current building warrant of fitness (expiry date 1st January 2021) was on public display in the reception area. Adjacent to this was the facility’s LPG Compliance Certificate (expiry date 23 July 2021) for having 540kg of LPG stored on site.</w:t>
            </w:r>
          </w:p>
          <w:p w:rsidR="00EB7645" w:rsidRPr="00BE00C7" w:rsidP="00BE00C7">
            <w:pPr>
              <w:pStyle w:val="OutcomeDescription"/>
              <w:spacing w:before="120" w:after="120"/>
              <w:rPr>
                <w:rFonts w:cs="Arial"/>
                <w:b w:val="0"/>
                <w:lang w:eastAsia="en-NZ"/>
              </w:rPr>
            </w:pPr>
            <w:r w:rsidRPr="00BE00C7">
              <w:rPr>
                <w:rFonts w:cs="Arial"/>
                <w:b w:val="0"/>
                <w:lang w:eastAsia="en-NZ"/>
              </w:rPr>
              <w:t>In relation to health and safety a project to reduce staff slips and falls was undertaken with a measured successful outcome.  In recognition of the success of this project a continuous improvement has been awarded.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is routinely completed, and recorded in a register which was sighted. Electrical tags were also checked throughout the facility and found to be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A maintenance book is kept at reception, where any maintenance requirements are recorded. The maintenance manager checks this book each morning and arranges for the work to be completed. Completed tasks or progress on tasks is recorded in the maintenance book. Maintenance requirements are also discussed at the weekly management meeting and recorded as a hazard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63 resident rooms across all areas of the facility. Each person’s room has their own ensuite, which includes wet area shower, toilet, basin, appropriate handrails, and a call system. There are a number of additional toilets throughout the facility, for resident, visitor or staff use. These toilets were fitted with privacy locks, approved handrails and connected to the call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spacious and provided single accommodation at the time of this audit.  Rooms are personalised with furnishings, photos and other personal items displayed. Adequate personal space is provided to allow residents and staff to move around within their bedrooms safely.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in bedrooms and a dedicated communal area where hoists and other equipment are stored. There is also a separate room for storing and charging mobility scooters. Staff and residents reported the adequacy of bedrooms and storage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communal areas are available for residents to engage in activities. These areas are spacious and enable easy access for both residents and staff. The furniture is appropriate to the setting and the residents’ needs.  There are two dining areas, two lounge areas, a large media room, a library, and a number of smaller lounge or sitting areas. In addition, there are some outdoor sitting areas and a walkway has been developed through the trees at the rear of the property.  Residents can access areas for privacy,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The laundry is configured to allow for the dirty to clean flow of laundry. Commercial laundry appliances are in use, which can wash at a range of temperatures, and use automated detergent dispensing. A dedicated team of care staff completes laundry at night, with the assistance of other care staff on other shifts. This person demonstrated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three-person designated cleaning team. Training records showed that each of these people have received training on cleaning and chemical use. Cleaning supplies, cleaning carts, and PPE was all stored in a secure room. In addition, a separate secure area is used for the decanting and mixing of chemicals, storing mops and other cleaning equipment</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by checklists reviewed by the household manager and through the quality meetings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 April 2020.  A trial evacuation takes place six-monthly with a copy sent to the New Zealand Fire Service, the most recent being undertaken on 24 July 2020. The orientation programme includes fire and security training.  Staff confirmed their awareness of the emergency procedures. Fire training is also provided for residents, with the most recent being on 20 March 2020.</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National Emergency Management Agency recommendations for the region.  Water storage tanks are located around the complex.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place, to alert staff to residents requiring assistance.  There are multiple call points in each resident’s room and ensuite, as well as throughout the other communal areas. The call bell system produces a monthly report of call bell response times, which are reviewed by the facility manager, and discussed at the management meeting.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are locked at predetermined times by the computerised access control system and cards readers allow for access outside of these hours, or to restricted areas. All access is controlled and recorded by the access control system and reports can be generated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There were a number of doors around the facility leading to outdoor garden areas and walkways. Heating is provided by underfloor heating and by heat pumps in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The infection control programme and manual are reviewed annually (last reviewed 22 May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facility manager, and tabled at the quality/risk committee meeting. This committee includes the facility manager, clinical nurse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During Covid-19 restrictions guidelines were followed from the Ministry of Health and passed on to staff in all departments in writing.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She has attended the Infection Prevention and Control Nurses Conference (21-23 September 2019) and attended relevant study days, as verified in training records sighted. Additional support and information are accessed from the infection control team at Ashburton hospital and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February 2019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r w:rsidRPr="00BE00C7">
              <w:rPr>
                <w:rFonts w:cs="Arial"/>
                <w:b w:val="0"/>
                <w:lang w:eastAsia="en-NZ"/>
              </w:rPr>
              <w:t>Covid-19 restrictions on the day of audit required signing in, completing a questionnaire, having the person’s temperature taken and wearing a mask for all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and the register was sighted as up to date in this education area. When an infection outbreak or an increase in infection incidence has occurred, there is evidence that additional staff education has been provided in response. An example of this occurred when Covid-19 restrictions were in place. Education included hand hygiene, donning and doffing of personal protective equipment and disaster management and was required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reminders about handwashing.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included infections of the urinary tract, soft tissue, fungal, eye, gastro-intestinal, and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manager/quality and the IPC committee.</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attending medical practitioner, registered nurse, clinical nurse manager and the activities co-ordinator, are responsible for the approval of the use of restraints and the restraint processes. The clinical nurse manager (CNM) is responsible for ensuring the restraint register is maintained accurately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restraints in use, and the CNM reported there had been no restraints in use over the past four years, which was confirmed by looking at the restraint register. </w:t>
            </w:r>
          </w:p>
          <w:p w:rsidR="00EB7645" w:rsidRPr="00BE00C7" w:rsidP="00BE00C7">
            <w:pPr>
              <w:pStyle w:val="OutcomeDescription"/>
              <w:spacing w:before="120" w:after="120"/>
              <w:rPr>
                <w:rFonts w:cs="Arial"/>
                <w:b w:val="0"/>
                <w:lang w:eastAsia="en-NZ"/>
              </w:rPr>
            </w:pPr>
            <w:r w:rsidRPr="00BE00C7">
              <w:rPr>
                <w:rFonts w:cs="Arial"/>
                <w:b w:val="0"/>
                <w:lang w:eastAsia="en-NZ"/>
              </w:rPr>
              <w:t>There was one enabler in place, which was for a bedrail. The bedrail had been in use for almost six months. On viewing the resident’s file, it was evident that an assessment process had been completed, the person and their family were consulted, and a signed consent was in place. A review of the enabler use had been completed, and details of the enabler’s use were included in the person’s care plan. An enabler monitoring sheet check was in place, which was sighted, and recorded hourly checking of the bedrails throughout the night when the bedrails were in place.</w:t>
            </w:r>
          </w:p>
          <w:p w:rsidR="00EB7645" w:rsidRPr="00BE00C7" w:rsidP="00BE00C7">
            <w:pPr>
              <w:pStyle w:val="OutcomeDescription"/>
              <w:spacing w:before="120" w:after="120"/>
              <w:rPr>
                <w:rFonts w:cs="Arial"/>
                <w:b w:val="0"/>
                <w:lang w:eastAsia="en-NZ"/>
              </w:rPr>
            </w:pPr>
            <w:r w:rsidRPr="00BE00C7">
              <w:rPr>
                <w:rFonts w:cs="Arial"/>
                <w:b w:val="0"/>
                <w:lang w:eastAsia="en-NZ"/>
              </w:rPr>
              <w:t>It was evident through observations and discussions with the CNM and care staff, that enablers were implemented in the least restrictive manner, and with the consent of the person and/or their family.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7"/>
        <w:gridCol w:w="1280"/>
        <w:gridCol w:w="6920"/>
        <w:gridCol w:w="2352"/>
        <w:gridCol w:w="15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individual training records and attendance records in a sample of planned training were sighted and reviewed.  Training records viewed showed that regular training is being provided as planned and attendance records are maintained.  On checking for attendance for individual staff for required core training, not all staff had completed each of the core training sessions.  Review of the system to monitor this identified a register, however this had not been completed for the last three years.  There was currently no other system in place to track which staff have, or have not, completed the required core training sessions. </w:t>
            </w:r>
          </w:p>
          <w:p w:rsidR="00EB7645" w:rsidRPr="00BE00C7" w:rsidP="00BE00C7">
            <w:pPr>
              <w:pStyle w:val="OutcomeDescription"/>
              <w:spacing w:before="120" w:after="120"/>
              <w:rPr>
                <w:rFonts w:cs="Arial"/>
                <w:b w:val="0"/>
                <w:lang w:eastAsia="en-NZ"/>
              </w:rPr>
            </w:pPr>
            <w:r w:rsidRPr="00BE00C7">
              <w:rPr>
                <w:rFonts w:cs="Arial"/>
                <w:b w:val="0"/>
                <w:lang w:eastAsia="en-NZ"/>
              </w:rPr>
              <w:t>With the recent Covid-19 pandemic, the facility has provided a range of training for staff.  A spreadsheet demonstrated that all but three staff completed procedure training and 20 out of 41 staff completed policy and PPE training.  The spreadsheet was provided on request from the audit team following the audit.  Biannual compulsory core pain management training was provided to 15 out of 26 RN and caregiver staff in March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system in place to record training does not identify which service providers have not completed training or show when service providers are due for retraining, for example, attending compulsory topics biennially.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a recording system to ensure that all staff have completed the defined training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Manager and Clinical Nurse Manager confirmed that meetings occur regularly and discussions occur related to staffing however it was stated that no minutes are kept of these meeting.  On asking how acuity decisions are made both stated that this was through discussion.  No data could be provided.   </w:t>
            </w:r>
          </w:p>
          <w:p w:rsidR="00EB7645" w:rsidRPr="00BE00C7" w:rsidP="00BE00C7">
            <w:pPr>
              <w:pStyle w:val="OutcomeDescription"/>
              <w:spacing w:before="120" w:after="120"/>
              <w:rPr>
                <w:rFonts w:cs="Arial"/>
                <w:b w:val="0"/>
                <w:lang w:eastAsia="en-NZ"/>
              </w:rPr>
            </w:pPr>
            <w:r w:rsidRPr="00BE00C7">
              <w:rPr>
                <w:rFonts w:cs="Arial"/>
                <w:b w:val="0"/>
                <w:lang w:eastAsia="en-NZ"/>
              </w:rPr>
              <w:t>On review of the roster records and in discussion with the clinical nurse manager there has been minor increases to the health care assistant hours, and laundry work is now undertaken at night.  Additional days have been provided to RNs to complete interRAI work.  The residents are spread across a large facility with care staff allocated into areas. In the morning two registered nursing staff provide clinical oversight while in the afternoon and night, one registered nurse provides oversight for the entire facility.  Interviews with health care assistants reported that there were insufficient staff available to complete the work allocated to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from occupancy based on care need levels show an increasing number of hospital level care residents and a decreasing number of rest home residents over the last 12 months, and therefore a shift in resident acuity.  Additionally, both hospital and rest home residents are located in apartments and care suites both in different parts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26 hospital level and 15 rest home residents there are two RNs on in the morning, one in the afternoon and one at night for the facility.  Care in each individual area is provided by caregivers.  The morning shift has six caregivers, with two allocated into a hospital only wing, four and a ‘float’ caregiver in the afternoon and one RN and one caregiver in the night with a laundry person covering bells when the care staff are busy.  During weekdays the clinical nurse manager is available to assist if needed and on interview confirmed that this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reported that they have limited time to undertake oversight of clinical cares and to complete documentation for hospital level care residents. Perhaps one to two minutes a shift for most residents and more time for those who have high need.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also reported they are pushed every day to undertake work, that they complete laundry tasks in the morning and are involved with breakfast and morning and afternoon teas.  In the afternoon they need to fold towels and flannels as they are needed for the afternoon work.  It was reported they feel there is inadequate clinical supervision by the RNs.</w:t>
            </w:r>
          </w:p>
          <w:p w:rsidR="00EB7645" w:rsidRPr="00BE00C7" w:rsidP="00BE00C7">
            <w:pPr>
              <w:pStyle w:val="OutcomeDescription"/>
              <w:spacing w:before="120" w:after="120"/>
              <w:rPr>
                <w:rFonts w:cs="Arial"/>
                <w:b w:val="0"/>
                <w:lang w:eastAsia="en-NZ"/>
              </w:rPr>
            </w:pPr>
            <w:r w:rsidRPr="00BE00C7">
              <w:rPr>
                <w:rFonts w:cs="Arial"/>
                <w:b w:val="0"/>
                <w:lang w:eastAsia="en-NZ"/>
              </w:rPr>
              <w:t>The RNs report they frequently work overtime (unpaid) to complete their tasks.  The CNM also works additional hours.</w:t>
            </w:r>
          </w:p>
          <w:p w:rsidR="00EB7645" w:rsidRPr="00BE00C7" w:rsidP="00BE00C7">
            <w:pPr>
              <w:pStyle w:val="OutcomeDescription"/>
              <w:spacing w:before="120" w:after="120"/>
              <w:rPr>
                <w:rFonts w:cs="Arial"/>
                <w:b w:val="0"/>
                <w:lang w:eastAsia="en-NZ"/>
              </w:rPr>
            </w:pPr>
            <w:r w:rsidRPr="00BE00C7">
              <w:rPr>
                <w:rFonts w:cs="Arial"/>
                <w:b w:val="0"/>
                <w:lang w:eastAsia="en-NZ"/>
              </w:rPr>
              <w:t>The roster showed that shifts are regularly (at least twice per week) short and needing replaced with another staff member working extra hours.  This is also often the CNM who fills RN gaps when needed.  Occasionally the shift goes unfilled.</w:t>
            </w:r>
          </w:p>
          <w:p w:rsidR="00EB7645" w:rsidRPr="00BE00C7" w:rsidP="00BE00C7">
            <w:pPr>
              <w:pStyle w:val="OutcomeDescription"/>
              <w:spacing w:before="120" w:after="120"/>
              <w:rPr>
                <w:rFonts w:cs="Arial"/>
                <w:b w:val="0"/>
                <w:lang w:eastAsia="en-NZ"/>
              </w:rPr>
            </w:pPr>
            <w:r w:rsidRPr="00BE00C7">
              <w:rPr>
                <w:rFonts w:cs="Arial"/>
                <w:b w:val="0"/>
                <w:lang w:eastAsia="en-NZ"/>
              </w:rPr>
              <w:t>Adequate staffing levels were observed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Following the audit, information was provided to demonstrate an acuity process.  This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tab/>
              <w:t>A sample of resident acuity assessments that are completed on admission, showing changes in health status and return from a DHB hospital</w:t>
            </w:r>
          </w:p>
          <w:p w:rsidR="00EB7645" w:rsidRPr="00BE00C7" w:rsidP="00BE00C7">
            <w:pPr>
              <w:pStyle w:val="OutcomeDescription"/>
              <w:spacing w:before="120" w:after="120"/>
              <w:rPr>
                <w:rFonts w:cs="Arial"/>
                <w:b w:val="0"/>
                <w:lang w:eastAsia="en-NZ"/>
              </w:rPr>
            </w:pPr>
            <w:r w:rsidRPr="00BE00C7">
              <w:rPr>
                <w:rFonts w:cs="Arial"/>
                <w:b w:val="0"/>
                <w:lang w:eastAsia="en-NZ"/>
              </w:rPr>
              <w:t>•</w:t>
              <w:tab/>
              <w:t>Resident acuity assessment data that shows the change in rest home and hospital residents. The required RN hours per week is then generated excluding the clinical care manager hours</w:t>
            </w:r>
          </w:p>
          <w:p w:rsidR="00EB7645" w:rsidRPr="00BE00C7" w:rsidP="00BE00C7">
            <w:pPr>
              <w:pStyle w:val="OutcomeDescription"/>
              <w:spacing w:before="120" w:after="120"/>
              <w:rPr>
                <w:rFonts w:cs="Arial"/>
                <w:b w:val="0"/>
                <w:lang w:eastAsia="en-NZ"/>
              </w:rPr>
            </w:pPr>
            <w:r w:rsidRPr="00BE00C7">
              <w:rPr>
                <w:rFonts w:cs="Arial"/>
                <w:b w:val="0"/>
                <w:lang w:eastAsia="en-NZ"/>
              </w:rPr>
              <w:t>•</w:t>
              <w:tab/>
              <w:t>Copies of meeting minutes between the facility manager and clinical care manager detailing discussion around acuity levels, staffing and rostering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review of the information post audit this demonstrates adequate RN hour allocations per resident. It is not clear how the acuity data and the data in the form of totals relates, (that is where the information was sourced from), and how the allocation of hours has been calculated. No evidence was provided to evidence that the acuity assessment information was used to adjust staffing levels in response to the acuity of residents.  </w:t>
            </w:r>
          </w:p>
          <w:p w:rsidR="00EB7645" w:rsidRPr="00BE00C7" w:rsidP="00BE00C7">
            <w:pPr>
              <w:pStyle w:val="OutcomeDescription"/>
              <w:spacing w:before="120" w:after="120"/>
              <w:rPr>
                <w:rFonts w:cs="Arial"/>
                <w:b w:val="0"/>
                <w:lang w:eastAsia="en-NZ"/>
              </w:rPr>
            </w:pPr>
            <w:r w:rsidRPr="00BE00C7">
              <w:rPr>
                <w:rFonts w:cs="Arial"/>
                <w:b w:val="0"/>
                <w:lang w:eastAsia="en-NZ"/>
              </w:rPr>
              <w:t>As none of this information was provided while on-site the partially attained finding remains although the team accept that if this had been provided during the on-site audit it would demonstrate an acuity process is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includes use of an acuity tool to support staffing decisions.  This tool is not being used for each resident to inform the clinical nurse manager and managers’ meeting regarding safe staffing levels.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the acuity tool process as defined in procedures to ensure service provider levels and skill mix safely meet the needs of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6"/>
        <w:gridCol w:w="1280"/>
        <w:gridCol w:w="1114"/>
        <w:gridCol w:w="99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project relating to reducing staff slips, trips and falls was undertaken in partnership with ACC and achieved a reduction in staff slips, trips and fall injuries, through increased awareness, good housekeeping, shared responsibility of actions, and ensuring suitable footwear is worn by staff. The success of this programme has resulted in a reduction in slips, trips and falls, with none recorded for a period of 275 days.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Terrace View Lifecare Limited - Terrace View Retirement Village</w:t>
    </w:r>
    <w:bookmarkEnd w:id="58"/>
    <w:r>
      <w:rPr>
        <w:rFonts w:cs="Arial"/>
        <w:sz w:val="16"/>
        <w:szCs w:val="20"/>
      </w:rPr>
      <w:tab/>
      <w:t xml:space="preserve">Date of Audit: </w:t>
    </w:r>
    <w:bookmarkStart w:id="59" w:name="AuditStartDate1"/>
    <w:r>
      <w:rPr>
        <w:rFonts w:cs="Arial"/>
        <w:sz w:val="16"/>
        <w:szCs w:val="20"/>
      </w:rPr>
      <w:t>2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