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Cargill Care Home &amp;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Cargill Care Home &amp;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October 2020</w:t>
      </w:r>
      <w:bookmarkEnd w:id="7"/>
      <w:r w:rsidRPr="009418D4">
        <w:rPr>
          <w:rFonts w:cs="Arial"/>
        </w:rPr>
        <w:tab/>
        <w:t xml:space="preserve">End date: </w:t>
      </w:r>
      <w:bookmarkStart w:id="8" w:name="AuditEndDate"/>
      <w:r w:rsidR="00A4268A">
        <w:rPr>
          <w:rFonts w:cs="Arial"/>
        </w:rPr>
        <w:t>22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Cargill Lifecare and Village (Cargill Lifecare) provides rest home level care for up to 40 residents. The service is operated by Heritage Lifecare (BPA) Limited (HLL) and managed by a care home and village manager (care manager) and a clinical services manager. Both managers have taken on their roles since the last audit. Residents and families spoke positively about the care provided.</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service provider’s contract with the district health board. The audit process included review of policies and procedures, review of residents’ and staff files, observations and interviews with residents, family members, managers, staff and a nurse practitioner. </w:t>
      </w:r>
    </w:p>
    <w:p w:rsidRPr="00A4268A">
      <w:pPr>
        <w:spacing w:before="240" w:line="276" w:lineRule="auto"/>
        <w:rPr>
          <w:rFonts w:eastAsia="Calibri"/>
        </w:rPr>
      </w:pPr>
      <w:r w:rsidRPr="00A4268A">
        <w:rPr>
          <w:rFonts w:eastAsia="Calibri"/>
        </w:rPr>
        <w:t xml:space="preserve">All standards reviewed demonstrated full attainment. Improvements have been made that are enabling the various stages of the care plans to be completed within expected timeframes, a current approved food control plan is on display and the infection control plan has been reviewed for 2020. These changes have addressed the three areas identified as requiring improvement at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interpreter services if required and people with specific communication needs are having these met.   </w:t>
      </w:r>
    </w:p>
    <w:p w:rsidRPr="00A4268A">
      <w:pPr>
        <w:spacing w:before="240" w:line="276" w:lineRule="auto"/>
        <w:rPr>
          <w:rFonts w:eastAsia="Calibri"/>
        </w:rPr>
      </w:pPr>
      <w:r w:rsidRPr="00A4268A">
        <w:rPr>
          <w:rFonts w:eastAsia="Calibri"/>
        </w:rPr>
        <w:t>Residents and family members are informed about the complaints process at the time of admission. A complaints register is maintained and demonstrates complaints are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scope, direction, goals, values and mission of the organisation are described within an overarching organisational business plan, alongside business objectives. These are complemented with a Cargill Lifecare specific business plan. Informative monitoring reports about the services are provided to the governing body regularly. An experienced person manages the facility alongside a suitably qualified clinical services manager.  </w:t>
      </w:r>
    </w:p>
    <w:p w:rsidRPr="00A4268A">
      <w:pPr>
        <w:spacing w:before="240" w:line="276" w:lineRule="auto"/>
        <w:rPr>
          <w:rFonts w:eastAsia="Calibri"/>
        </w:rPr>
      </w:pPr>
      <w:r w:rsidRPr="00A4268A">
        <w:rPr>
          <w:rFonts w:eastAsia="Calibri"/>
        </w:rPr>
        <w:t xml:space="preserve">As per the documented quality and risk management plan, the quality and risk management system includes collection and analysis of quality improvement data, identifies trends and leads to improvements. Staff are involved in various aspects of the system and feedback is sought from residents and families. Adverse events are documented with corrective actions implemented. Actual and potential risks, including health and safety risks, are identified and mitigated. Policies and procedures support service delivery, were current and are reviewed regularly. </w:t>
      </w:r>
    </w:p>
    <w:p w:rsidRPr="00A4268A">
      <w:pPr>
        <w:spacing w:before="240" w:line="276" w:lineRule="auto"/>
        <w:rPr>
          <w:rFonts w:eastAsia="Calibri"/>
        </w:rPr>
      </w:pPr>
      <w:r w:rsidRPr="00A4268A">
        <w:rPr>
          <w:rFonts w:eastAsia="Calibri"/>
        </w:rPr>
        <w:t xml:space="preserve">The appointment, orientation and management of staff are based on current good practice. Ongoing staff training that supports safe service delivery is provided according to a documented schedule. Performance reviews are completed annually for all staff.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on public display.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There were no restraints or enablers in use at the time of audit. Staff demonstrated a sound knowledge and understanding of the restraint and enabler processes, including that any use of an enabler is voluntary, for the safety of residents and in response to individual requests.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 The programme is reviewed annually.</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and concerns policy and associated forms meet the requirements of Right 10 of the Code. Written Information on the complaint process is provided to residents and families on admission and the care manager informed she discusses the process with prospective residents/family members when they tour the facility. People interviewed were familiar with the process. The care manager described how verbal concerns are formalised within the complaints process as applicable.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is available in hard copy and electronic versions, both of which were consistent with one another. Thirteen complaints have been received since the beginning of 2020 and the register showed that all but one have had actions taken, through to an agreed resolution. Documentation regarding associated correspondence is available and demonstrated the processes are being completed within the required timeframes. The open complaint is still being processed. Complaints management and follow up are the responsibility of the care manager, although the clinical services manager becomes involved when appropriate. All staff interviewed confirmed a sound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Family members confirmed they are advised in a timely manner about any incidents or accidents as well as outcomes of regular and any urgent medical reviews. This was evident in the progress notes and family communication pages in residents’ records reviewed. The clinical services manager confirmed their responsibility for informing residents and family members about any clinical issues, whereas the care manager discusses non-clinical issues with them. Staff understood the principles of open disclosure, which is supported by the organisation’s policies and procedures that meet the requirements of the Code of Health and Disability Services Consumers' Right.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provides details of options about who to contact if interpreter services were required. The care manager informed they would also use local Aged Care Association colleagues who have knowledge in this area. Staff interviewed informed that to their knowledge this had never been required as all residents had shown a good command of the English language. The Deaf Association has visited and provided staff training on the management of hearing aids. Examples of support from the Foundation for the Blind, reading key information to residents with a visual impairment and use of a whiteboard to aid communication were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Cargill Lifecare and Village (Cargill Lifecare) Lifecare is a facility owned and operated by the aged care provider, Heritage Lifecare (BPA) Limited (HLL). There is an overarching business plan which outlines the purpose, values, scope, direction and goals of the organisation as well as annual and longer term objectives and action plans. In addition, Cargill Lifecare has its own annually reviewed business plan with objectives according to the topics outlined within the HLL business plan that include financial, maximisation of resident and staff satisfaction, the provision of high quality clinical care and staff at all levels to be actively engaged in health and safety for example. In addition to regular zoom and face to face meetings, the care manager provides monthly reports on operational issues to the regional HLL operations manager. Quality indicator data that is focused on a range of issues such as falls, incidents, complaints and staffing are collated and also provided to the operations manager each month. A sample of these reports was viewed and show adequate information to monitor performance is being reported and followed 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Cargill Lifecare service is managed by a care home and village manager (care manager) who commenced the role in August 2019 and has over 18 years of experience in the health sector. Responsibilities and accountabilities are defined in a job description and individual employment agreement. Although the care manager does not have any formal qualification, this person has worked in regional and business management positions in nursing agencies and a district nursing service. During interview, the care manager confirmed knowledge of the sector, regulatory and reporting requirements and records reviewed confirmed they are maintaining competency through ongoing attendance at all in-service and a number of appropriate external training sessions, attendance at meetings with the Southern DHB portfolio manager and management support through HLL.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a contract with the Southern District Health Board under the Aged Related Residential Care Agreement to provide rest home level care for up to 40 residents. Thirty-three residents were receiving services under this contract at the time of audit, none of which were for respite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and documented quality and risk system that reflects the principles of continuous quality improvement. This includes reviews on education, clinical issues, complaints, management of incident/accidents, internal audit activities and checklists, infections and monitoring of a wide range of clinical outcome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the quality indicators and that related information is reported and discussed at the monthly quality and risk team meetings, registered nurse meetings and departmental and all staff meetings. Staff reported their involvement in quality and risk management activities through responding to follow-up from internal audits, completing incident forms and participating in meetings and in training sessions as requested. They have ready access to reports on the quality indicator data and those interviewed were familiar with what it means. Relevant corrective actions are developed and implemented to address any identified shortfalls. Resident and family satisfaction surveys are completed annually, however analysis of feedback from the latest 2020 survey has not yet occurred and there was limited information available from the 2019 one. Changes have been made to aspects of food services and others are underway for the activity programme as a result of resident meeting feedback. Resident feedback is sought about renovation that is being progressively being undertaken throughout the building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every three years,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manager described the processes for the identification, monitoring, review and reporting of risks and development of mitigation strategies. The care manager has completed relevant training, therefore is familiar with the Health and Safety at Work Act (2015) and continues to implement requirements. Health and safety reports are integrated into the quality and risk meeting minutes and in reports to the HLL support office. Updated hazard registers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and the information is entered into an electronic database, which on review confirmed incidents were investigated, action plans developed and actions followed-up in a timely manner by the relevant manger. Adverse event data is collated, analysed and reported through the monthly quality indicator reports that are provided to HLL operations team each month. Quality and risk meeting minutes confirmed that incidents are followed up as described within the incidents log and that any trends are identified, and actions implemented accordingly. </w:t>
            </w:r>
          </w:p>
          <w:p w:rsidR="00EB7645" w:rsidRPr="00BE00C7" w:rsidP="00BE00C7">
            <w:pPr>
              <w:pStyle w:val="OutcomeDescription"/>
              <w:spacing w:before="120" w:after="120"/>
              <w:rPr>
                <w:rFonts w:cs="Arial"/>
                <w:b w:val="0"/>
                <w:lang w:eastAsia="en-NZ"/>
              </w:rPr>
            </w:pPr>
            <w:r w:rsidRPr="00BE00C7">
              <w:rPr>
                <w:rFonts w:cs="Arial"/>
                <w:b w:val="0"/>
                <w:lang w:eastAsia="en-NZ"/>
              </w:rPr>
              <w:t>The care manager described essential notification reporting requirements. They advised there have been Ministry of Health notifications related to wandering residents (two), a stage three pressure injury, the new relief clinical services manager, a breach of Covid-19 protocols and a recent coroner’s investigation, although the death did not occur in this facility. The coroner’s enquiry has involved police investigation and the HLL company lawyer is involved. The local DHB portfolio manager has been informed of an employment mediation process that is underway regarding a registered health professional.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a formal application process, initial interview, referee checks, police vetting and validation of qualifications and practising certificates (APCs), where required. A sample of staff records reviewed confirmed the organisation’s policies are being consistently implemented and records are maintained. Annual practising certificates for all health professionals involved with residents at Cargill Lifecare are on file and all are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prepares them well for their role and additional time with a buddy is added if the new staff person requires or requests it. Excepting for long term staff, for whom records were not retained, staff records reviewed show documentation of completed orientation and a follow-up review interview with the care manager after three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and includes mandatory training requirements. Non-attendance at mandatory sessions requires the person to undertake a one on one training with one of the managers, or the registered nurse and may include completion of a quiz depending on the topic. Records reviewed confirmed care assistants have either completed or commenced a New Zealand Qualification Authority education programme to meet the requirements of the provider’s agreement with the Southern DHB. There is currently an external assessor who is contracted to support this process. Brief toolbox training sessions on topical issues under the leadership of the registered nurse, are held regularly and are reportedly enabling early intervention to identified problems. An internal audit on staff training demonstrated compliance with staff training requirements. All staff annual performance appraisals are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Organisational policies and procedures include a documented process for determining staffing levels and skill mixes to provide safe service delivery, 24 hours a day, seven days a week (24/7). Examples were provided of how the facility adjusts staffing levels to meet the changing needs of residents. Staffing levels are monitored by the care manager and by the clinical services manager to ensure resident safety. The care manager is on call 24/7 for facility enquiries, although such call-outs were reported as being very infrequent. The clinical services manager alternates week by week with the registered nurse for on call after-hours clinical enquiries. This is evident on the roster.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there are adequate staff available to complete the work allocated to them and that if they get busy one of the managers or the registered nurse will step in and assist. Residents and family interviewed supported this. Observations and review of a four-week roster cycle confirmed adequate staff cover has been provided, with staff replaced in most unplanned absences, or shifts lengthened with one person staying later and one person on the next shift commencing early if it is not possible to fill a shift. Where gaps (four of) were found in the roster, these timeframes coincided with lower occupancy. An additional short shift is added when occupancy increases or acuity is higher. There is a casual staff pool and many staff will also work an additional shift. The laundry person (also a qualified care assistant) will work a shift as a last resort if needed. Over 75% of care assistants have a current first aid certificate including all seniors. At least one senior care assistant is on each shift, therefore there is always a staff member on duty who has a current first aid certificate. The person responsible for medication administration and who has a current competency is identifiable as they have an asterisk beside their name.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A register of competent staff is maintained and updated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clinical services manager (CSM) or RN checks medications against the prescription and enters them into the system as a record.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Cargill Lifecare currently has no controlled drugs on site but appropriate storage and policies and procedures around management are in place should the need arise.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in the electronic system showed good prescribing practices including the prescriber’s signature and date recorded on the commencement and discontinuation of medicines and all requirements for pro re nata (PRN) medicines met. The required three-monthly general practitioner (GP) review is consistently recorded on a spreadsheet and the CSM notifies the GP at the start of each month of those residents requiring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self-administer medications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three cooks and a kitchen team and is in line with recognised nutritional guidelines for older people. The menu follows summer and winter patterns and has been reviewed by a qualified dietitian within the last two years (26 May 2020).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 service operates with an approved food safety plan and registration issued by Invercargill City Council and is current until 31 August 2021. Food temperatures, including for high risk items, are monitored appropriately and recorded as part of the plan. All kitchen staff have undertaken food handling training.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five files reviewed four residents had stable weight recordings while the fifth was receiving supplements for weight loss which was shown to be effective.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is verified by resident and family interviews and resident meeting minutes. Observation of a meal showed residents were given sufficient time to eat their meal in an unhurried fashion.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and observations verified the provision of care provided to residents at Cargill Lifecare was consistent with their needs, goals and the plan of care. The attention to meeting a diverse range of resident’s individualised needs was evident in all areas of service provision. The nurse practitioner interviewed, verified that medical input is sought in a timely manner, that medical orders are followed, care is of a high standard and she has no areas of concern. Care staff confirmed that care was provided as outlined in the documentation. A range of equipment and resources was available, suited to the level of care provided and in accordance with the residents’ needs. Residents interviewed reported that they are well looked after, and their needs are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newly appointed activities coordinator who has only been in the role for two months. The position is supported by volunteers who take church services and entertainers. Cargill Lifecare has a van which is used to provide outings and shopping trips.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organisation provides guidelines for activities on a monthly basis which are discussed with the residents and adapted to their preferences. The resident’s activity needs are evaluated by observing resident engagement during activities on a daily basis and as part of the formal six-monthly care plan review and multidisciplinary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 residents’ goals, ordinary patterns of life and include normal community activities such as exercises, newspaper reading and word games. Individual, group activities and regular events are offered. Residents and families/whānau are involved in evaluating and improving the programme through residents’ meetings. Residents interviewed confirmed they find the programme stimulating and that they are free to join activities of their choice. A calendar of activities is displayed in each resident’s room, on the notice board and nurses’ station.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The ‘Stop and Watch’ system is used by the carers to report any change in a resident’s condition to the RN.</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which was observed in the five files reviewed. Examples of short-term care plans being consistently reviewed, and progress evaluated as clinically indicated were noted for urinary tract infections, wounds and changes in medication. For problems that remain unresolved specialist advice is sought, and long-term care plans are added to and updated. Residents and families/whānau interviewed provided examples of communication regarding changes of care and their input was sought.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with and expiry date of 13 December 2020 is publicly displayed at two main entrances. There have been no structural modifications to the facility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documented infection control programme which is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This is reported to the quality team. Data is benchmarked externally within the group.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recorded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restraints or enablers in use at this facility at the time of the surveillance audit, which was confirmed by staff, the clinical services manager and the care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clinical services manager is the restraint coordinator and has had sufficient previous experience on the topic to be able to provide support and oversight for enabler and restraint management in the facility should this be required. </w:t>
            </w:r>
          </w:p>
          <w:p w:rsidR="00EB7645" w:rsidRPr="00BE00C7" w:rsidP="00BE00C7">
            <w:pPr>
              <w:pStyle w:val="OutcomeDescription"/>
              <w:spacing w:before="120" w:after="120"/>
              <w:rPr>
                <w:rFonts w:cs="Arial"/>
                <w:b w:val="0"/>
                <w:lang w:eastAsia="en-NZ"/>
              </w:rPr>
            </w:pPr>
            <w:r w:rsidRPr="00BE00C7">
              <w:rPr>
                <w:rFonts w:cs="Arial"/>
                <w:b w:val="0"/>
                <w:lang w:eastAsia="en-NZ"/>
              </w:rPr>
              <w:t>During interview, staff confirmed they have received training on the topic, and they described their awareness of the difference between a restraint and an enabler, different types of restraint and knew that an enabler use is voluntary at the request of the resident. All knew had to access the policies and procedures for further information should they require 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Cargill Care Home &amp; Village</w:t>
    </w:r>
    <w:bookmarkEnd w:id="58"/>
    <w:r>
      <w:rPr>
        <w:rFonts w:cs="Arial"/>
        <w:sz w:val="16"/>
        <w:szCs w:val="20"/>
      </w:rPr>
      <w:tab/>
      <w:t xml:space="preserve">Date of Audit: </w:t>
    </w:r>
    <w:bookmarkStart w:id="59" w:name="AuditStartDate1"/>
    <w:r>
      <w:rPr>
        <w:rFonts w:cs="Arial"/>
        <w:sz w:val="16"/>
        <w:szCs w:val="20"/>
      </w:rPr>
      <w:t>22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