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Hugh Green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Hugh Green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2020</w:t>
      </w:r>
      <w:bookmarkEnd w:id="7"/>
      <w:r w:rsidRPr="009418D4">
        <w:rPr>
          <w:rFonts w:cs="Arial"/>
        </w:rPr>
        <w:tab/>
        <w:t xml:space="preserve">End date: </w:t>
      </w:r>
      <w:bookmarkStart w:id="8" w:name="AuditEndDate"/>
      <w:r w:rsidR="00A4268A">
        <w:rPr>
          <w:rFonts w:cs="Arial"/>
        </w:rPr>
        <w:t>17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Hugh Green is part of the Bupa group of aged care facilities.  The care facility has a total of 100 beds certified for rest home, hospital and secure dementia levels of care.  During the audit there were 97 residents at the facility.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service is managed by an experienced management team.  The general manager is supported by a clinical manager, unit coordinators and a Bupa regional manager.</w:t>
      </w:r>
    </w:p>
    <w:p w:rsidRPr="00A4268A">
      <w:pPr>
        <w:spacing w:before="240" w:line="276" w:lineRule="auto"/>
        <w:rPr>
          <w:rFonts w:eastAsia="Calibri"/>
        </w:rPr>
      </w:pPr>
      <w:r w:rsidRPr="00A4268A">
        <w:rPr>
          <w:rFonts w:eastAsia="Calibri"/>
        </w:rPr>
        <w:t>The residents and relatives interviewed all spoke positively about the home, staff and the care provided.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that is individualised to Hugh Green and has been embedded in practice.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There are no improvements required by the service. </w:t>
      </w:r>
    </w:p>
    <w:p w:rsidRPr="00A4268A">
      <w:pPr>
        <w:spacing w:before="240" w:line="276" w:lineRule="auto"/>
        <w:rPr>
          <w:rFonts w:eastAsia="Calibri"/>
        </w:rPr>
      </w:pPr>
      <w:r w:rsidRPr="00A4268A">
        <w:rPr>
          <w:rFonts w:eastAsia="Calibri"/>
        </w:rPr>
        <w:t>A continuous improvement rating has been awarded around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Commissioner’s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w:t>
      </w:r>
    </w:p>
    <w:p w:rsidRPr="00A4268A">
      <w:pPr>
        <w:spacing w:before="240" w:line="276" w:lineRule="auto"/>
        <w:rPr>
          <w:rFonts w:eastAsia="Calibri"/>
        </w:rPr>
      </w:pPr>
      <w:r w:rsidRPr="00A4268A">
        <w:rPr>
          <w:rFonts w:eastAsia="Calibri"/>
        </w:rPr>
        <w:t>There is an established system for the management of complaints, which meets timeframes determined by HDC.</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general manager and clinical manager are responsible for the day-to-day operations of the facility.  Goals are documented for the service with evidence of regular reviews.  </w:t>
      </w:r>
    </w:p>
    <w:p w:rsidRPr="00A4268A">
      <w:pPr>
        <w:spacing w:before="240" w:line="276" w:lineRule="auto"/>
        <w:rPr>
          <w:rFonts w:eastAsia="Calibri"/>
        </w:rPr>
      </w:pPr>
      <w:r w:rsidRPr="00A4268A">
        <w:rPr>
          <w:rFonts w:eastAsia="Calibri"/>
        </w:rPr>
        <w:t xml:space="preserve">Bupa Hugh Green is implementing the Bupa organisational quality and risk management system that supports the provision of clinical care.  Quality and risk performance are reported across the facility meetings and to the organisation's management team.  Interviews with staff and review of meeting minutes reflected a culture of continuous quality improvements.  An annual resident/relative satisfaction survey is completed and there are regular resident/relative newsletters.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that is specific to the role and responsibilities of the position.  Ongoing education and training for staff is being implemented.  </w:t>
      </w:r>
    </w:p>
    <w:p w:rsidRPr="00A4268A">
      <w:pPr>
        <w:spacing w:before="240" w:line="276" w:lineRule="auto"/>
        <w:rPr>
          <w:rFonts w:eastAsia="Calibri"/>
        </w:rPr>
      </w:pPr>
      <w:r w:rsidRPr="00A4268A">
        <w:rPr>
          <w:rFonts w:eastAsia="Calibri"/>
        </w:rPr>
        <w:t xml:space="preserve">The staffing levels meets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Resident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one to three monthly reviews by the general practitioners.  There is evidence of other allied health and specialist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The medicines records reviewed included documentation of allergies and sensitivities and are reviewed at least three-monthly by the general practitioners.  </w:t>
      </w:r>
    </w:p>
    <w:p w:rsidRPr="00A4268A" w:rsidP="00621629">
      <w:pPr>
        <w:spacing w:before="240" w:line="276" w:lineRule="auto"/>
        <w:rPr>
          <w:rFonts w:eastAsia="Calibri"/>
        </w:rPr>
      </w:pPr>
      <w:r w:rsidRPr="00A4268A">
        <w:rPr>
          <w:rFonts w:eastAsia="Calibri"/>
        </w:rPr>
        <w:t>An integrated activities programme is implemented for all residents.  There is also a specific programme for the residents in the secure dementia unit.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All food and baking are completed on site.  All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an approved evacuation scheme and emergency supplies for at least three days.  At least one first aid trained staff member is on duty at all times.  </w:t>
      </w:r>
    </w:p>
    <w:p w:rsidRPr="00A4268A">
      <w:pPr>
        <w:spacing w:before="240" w:line="276" w:lineRule="auto"/>
        <w:rPr>
          <w:rFonts w:eastAsia="Calibri"/>
        </w:rPr>
      </w:pPr>
      <w:r w:rsidRPr="00A4268A">
        <w:rPr>
          <w:rFonts w:eastAsia="Calibri"/>
        </w:rPr>
        <w:t xml:space="preserve">Chemicals are stored securely throughout the facility.  The building holds a current building WOF.  Resident rooms are single, spacious and personalised.  All rooms, ensuites and communal bathrooms are large enough for mobility equipment.  There is a mobility bathroom with shower on each floor.  Communal areas within each area/community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There have been no residents using restraints since the facility opened.  Restraint management processes are available if restraint is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5"/>
        <w:gridCol w:w="1280"/>
        <w:gridCol w:w="89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Services Consumers' Rights (the Code) poster is displayed in a visible location in English and in te reo Māori.  Policy relating to the Code is being implemented.  Staff receive training about the Code during their induction to the service.  This training continues through in-service education.  Interviews with 20 staff (six caregivers who work across all three shifts, two unit coordinators/registered nurses (RNs), three staff RNs, one maintenance, two laundry, one household supervisor (kitchen), one physiotherapist, one physiotherapy assistant, three activities staff) reflected their understanding of the key principles of the Code.  They can apply this knowledge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were signed general consents including outings in all 10 resident files reviewed.  Resuscitation treatment plans, and advance directives were completed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and registered nurses (RNs)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also being reviewed through the six-monthly MDT meeting with residents and relatives and also links to the quality system through satisfaction surveys and internal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three monthly and relative meetings take place three monthly.  Regular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is held both in hard copy and electronically.  Thirteen complaints were lodged in 2019 and five complaints have been lodged in 2020 (year to date).  There was documented evidence of each complaint being acknowledged, investigated and resolved.  Timelines determined by HDC were met, and corrective actions were actioned.  Details around these complaints and the developed corrective action plans were discussed in staff meetings, evidenced in the quality and general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managers (general manager, clinical manager) and RNs discuss aspects of the Code with residents and their family on admission.  Further discussions relating to the Code are held during the (three-monthly) residents and (three monthly) family meetings.  Seven residents (three rest home level and four hospital level) and three relatives (dementia level) interviewed confirmed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reported that they are treated with dignity and respect.  Privacy is ensured, and independence is encouraged.  Residents and relatives interviewed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receive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and cultural and ethnic backgrounds of Māori are valued and fostered within the service.   Staff encourage active participation and input of the family/whānau in the day-to-day care of the resident.  At the time of the audit there were three residents who identified as Māori living at the facility.  One resident (hospital level) was interviewed who did not identify with her Māori heritage but stated that her needs were being met.  A second resident file (dementia level) was reviewed.  A Māori health plan was being implemented to address three key objectives: acknowledging and meeting the right of the Māori resident to practice their cultural values and beliefs; ensuring the holistic framework of Te Whare Tapa Whā is adhered to; and recognising the Treaty of Waitangi and working in partnership with iwi in the delivery of care.</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Te Puna Hauora o Te Raki Paewhenua (health and social services) and Māori staff.  At the time of the audit the facility was celebrating Māori language week.  A kapa haka group visits the facility regularly.</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cultural awareness during their induction to the service and as a regular in-service topic (14 July 2020).  The caregivers interviewed were aware of the importance of whānau in the delivery of care for Māori residents.  Rooms are blessed following a death and staff farewell the resident as they exit the facility.  Staff are reminded to serve meals to the side of the residents (and not over their heads).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their plan of care, which includes the identification of individual values and beliefs.  All ten care plans reviewed included the resident’s social, spiritual, cultural and recreational needs.  One resident identified as Russian.  English was not well understood by this resident.  Cue cards, downloaded from the Auckland DHB, are used for communication in addition to family.  Video conferencing is being utilised with family during the Covid-19 lockdown with the family reporting the resident is very happy living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general practitioner (GP) visits the facility twice per week.  The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local district health board (DHB).  Physiotherapy services are provided on site, five days per week with a physiotherapy assistant employed to assist a contracted physiotherapist.  A podiatrist is on site every two weeks.  The service has links with the local community and encourages residents to remain independent.  External visits from health professionals include (but are not limited to) a dietitian, mental health services, and palliative care/hospice.</w:t>
            </w:r>
          </w:p>
          <w:p w:rsidR="00EB7645" w:rsidRPr="00BE00C7" w:rsidP="00BE00C7">
            <w:pPr>
              <w:pStyle w:val="OutcomeDescription"/>
              <w:spacing w:before="120" w:after="120"/>
              <w:rPr>
                <w:rFonts w:cs="Arial"/>
                <w:b w:val="0"/>
                <w:lang w:eastAsia="en-NZ"/>
              </w:rPr>
            </w:pPr>
            <w:r w:rsidRPr="00BE00C7">
              <w:rPr>
                <w:rFonts w:cs="Arial"/>
                <w:b w:val="0"/>
                <w:lang w:eastAsia="en-NZ"/>
              </w:rPr>
              <w:t>Bupa Hugh Green is benchmarked against Bupa dementia, rest home and hospital data.  If the results are above the benchmark, a corrective action plan is developed and implemented.  All Bupa facilities have a master copy of all policies and procedures and a master copy of clinical forms filed alphabetically in folders.  These documents have been developed in line with current accepted best and/or evidence-based practice.  There is a regular in-service education and training programme for staff.  A number of core clinical practices also have education packages for staff.</w:t>
            </w:r>
          </w:p>
          <w:p w:rsidR="00EB7645" w:rsidRPr="00BE00C7" w:rsidP="00BE00C7">
            <w:pPr>
              <w:pStyle w:val="OutcomeDescription"/>
              <w:spacing w:before="120" w:after="120"/>
              <w:rPr>
                <w:rFonts w:cs="Arial"/>
                <w:b w:val="0"/>
                <w:lang w:eastAsia="en-NZ"/>
              </w:rPr>
            </w:pPr>
            <w:r w:rsidRPr="00BE00C7">
              <w:rPr>
                <w:rFonts w:cs="Arial"/>
                <w:b w:val="0"/>
                <w:lang w:eastAsia="en-NZ"/>
              </w:rPr>
              <w:t>The 2019 resident and family satisfaction survey results reflected an overall net promoter score of +73% (76% promotors, 22% passive and 2% detractors).  Corrective actions are completed in areas identified for improvements.  This information is posted in a visible location for all to read.  The 2020 resident/family satisfaction survey has been completed but results have not yet been released.  A regular newsletter updates the residents and families about past and future events and developments both within Bupa Hugh Green and the Bupa organisation as a whole.</w:t>
            </w:r>
          </w:p>
          <w:p w:rsidR="00EB7645" w:rsidRPr="00BE00C7" w:rsidP="00BE00C7">
            <w:pPr>
              <w:pStyle w:val="OutcomeDescription"/>
              <w:spacing w:before="120" w:after="120"/>
              <w:rPr>
                <w:rFonts w:cs="Arial"/>
                <w:b w:val="0"/>
                <w:lang w:eastAsia="en-NZ"/>
              </w:rPr>
            </w:pPr>
            <w:r w:rsidRPr="00BE00C7">
              <w:rPr>
                <w:rFonts w:cs="Arial"/>
                <w:b w:val="0"/>
                <w:lang w:eastAsia="en-NZ"/>
              </w:rPr>
              <w:t>This year Bupa Hugh Green was awarded Bupa’s Care Home of the Year 2020 runner up award.  This was in recognition of their performance and achievements, including establishing and embedding systems, developing the team and culture, and ultimately ensuring residents are at the centre of everything they do.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Fifteen incidents/accidents forms selected for review indicated that family were informed.  Families interviewed confirmed they are notified of any changes in their family member’s health status and/or if an adverse event had occurred.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Hugh Green Care Home is part of the Bupa group of aged care facilities.  The service is certified to provide rest home, dementia and hospital (medical and geriatric) levels of care for up to 100 residents.  On the day of the audit there were 97 residents (19 rest home level, 54 hospital level and 24 dementia level).  All rest home and hospital beds are certified for dual purpose.  At the time of the audit, one resident (dementia) was on an ACC contract and one resident (rest home) was on respite.  The remaining residents were on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Bupa’s vision and values during their induction to the service.  There is an overall Bupa business plan and risk management plan.  There are documented quality/health and safety goals that are reviewed at every staff and quality meeting and are signed off when achieved.  New goals are set every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over 30 years of experience in aged care.  He was employed by Bupa as a care home manager for Hugh Green since it opened in November 2016. Recently he has been promoted to general manager with added responsibilities including the (adjacent) retirement village.  His background in health includes work as a physiotherapist in the UK.  He is supported by an administrator, a clinical manager/RN and three-unit coordinators/RNs (with one-unit coordinator position vacant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been working as an acting clinical manager from November 2018 to November 2019 and since June 2020 to fill the vacancy left by the previous clinical manager.  The first day of this full certification audit was the first day in his role as permanent clinical manager.  A section 31 report has been sent to HealthCERT to notify them of this change.  When not working in an acting clinical manager role, he was a unit coordinator for Hugh Green (rest home and hospital level residents) and will continue to assist in this role until the unit coordinator vacancy is filled.  He has worked in aged care for over five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responsible for the overall operations of the facility when the general manager is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programmes are being implemented and interviews with the managers and staff confirmed their understanding of these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process is currently being implemented to ensure that documents, including, (but not limited to) policies and procedures, are kept up to date.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Quality indicator data collected (eg, falls, medication errors, antipsychotic drug usage, wounds, skin tears, pressure injuries, complaints) are collected, collated and analysed with results communicated to staff.  Corrective action plans are established and implemented for indicators above the benchmark.  An internal audit programme is in place.  In addition to scheduled monthly internal audits, an annual facility health check is conducted by an external Bupa representative.  Quality and risk data, and corrective action plans are shared with staff via meetings and also by posting results.</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includes a specific and measurable health and safety goal that is developed by head office and is regularly reviewed.  Staff undergo annual health and safety training which begins during their orientation.  All staff are provided with written information about their responsibility under the Health Safety at Work Act 2015 (HSWA).  Contractors are required to be inducted into the facility and sign a health and safety information sheet when this has been completed.  Bupa belongs to the ACC Partnership Programme (expiry 31 March 2021) and have attained the tertiary level.  Every Thursday is ‘Step Thursday’ at Hugh Green, forming part of Bupa’s employee wellness programme which promotes the use of stairs as opposed to the elevator.</w:t>
            </w:r>
          </w:p>
          <w:p w:rsidR="00EB7645" w:rsidRPr="00BE00C7" w:rsidP="00BE00C7">
            <w:pPr>
              <w:pStyle w:val="OutcomeDescription"/>
              <w:spacing w:before="120" w:after="120"/>
              <w:rPr>
                <w:rFonts w:cs="Arial"/>
                <w:b w:val="0"/>
                <w:lang w:eastAsia="en-NZ"/>
              </w:rPr>
            </w:pPr>
            <w:r w:rsidRPr="00BE00C7">
              <w:rPr>
                <w:rFonts w:cs="Arial"/>
                <w:b w:val="0"/>
                <w:lang w:eastAsia="en-NZ"/>
              </w:rPr>
              <w:t>The falls prevention programme includes strategies that have been in place including (but are not limited to) ensuring call bells are placed within reach, the use of sensor mats, chair sensors, perimeter mattresses, encouraging participation in activities, physiotherapy input, regular toileting and intentional rounding.  A falls focus group meets monthly to discuss and develop falls prevention strategies for residents who are considered at a high risk of falling.  The facility has been involved with the Auckland University of Technology ‘Standing up to Falls’ research programme which is supported by the falls focus group and falls champions.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 and incident reporting policy.  Adverse events are investigated by the clinical manager and/or registered nursing staff, evidenced in all fifteen accident/incident forms reviewed (two absconding, two skin tears, one bruise, ten falls).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 evidenced in five accident/incident forms.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clinical manager confirmed their awareness of the requirement to notify relevant authorities in relation to essential notifications.  Since the previous audit, section 31 reports have been completed for pressure injuries, police investigations (absconding residents), and the appointment of the clinical manager.  Public health authorities and the DHB are notified when there is a suspected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the recruitment and staff selection process.  Relevant checks are completed to validate the individual’s qualifications, experience and veracity.  A register of current practising certificates is maintained.  Ten staff files reviewed (four caregivers, two staff RNs, one kitchen assistant and three activities assistants)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The orientation programme is specific to the job role and responsibilities.  The education programme being implemented is extensive and includes in-service training, competency assessments, and impromptu (toolbox) talks.  Caregivers are expected to complete an aged care education programme that meets the New Zealand Quality Authority (NZQSA) requirements.  Twenty-three caregivers have completed their NZQA dementia qualification and twenty-seven staff (who have been employed less than eighteen months) are enrolled.</w:t>
            </w:r>
          </w:p>
          <w:p w:rsidR="00EB7645" w:rsidRPr="00BE00C7" w:rsidP="00BE00C7">
            <w:pPr>
              <w:pStyle w:val="OutcomeDescription"/>
              <w:spacing w:before="120" w:after="120"/>
              <w:rPr>
                <w:rFonts w:cs="Arial"/>
                <w:b w:val="0"/>
                <w:lang w:eastAsia="en-NZ"/>
              </w:rPr>
            </w:pPr>
            <w:r w:rsidRPr="00BE00C7">
              <w:rPr>
                <w:rFonts w:cs="Arial"/>
                <w:b w:val="0"/>
                <w:lang w:eastAsia="en-NZ"/>
              </w:rPr>
              <w:t>In addition to in-service education, RN staff attend external DHB education.  Seven of thirteen RNs have completed their interRAI training.  A first aid trained staff is always present on site and on activity outings.  In-house chemical safety training for applicable staff (including but not limited to housekeeping, laundry, kitchen staff) was completed on 26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The general manager and clinical manager are employed full-time (Monday – Friday).  They are supported by three-unit coordinators/RNs with one-unit coordinator position vacant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covers three floors with an elevator placed in an accessible location.  The secure dementia unit with an occupancy of 24 residents, is on the ground floor (level one) and the dual-purpose (rest home/hospital) beds are located on the second level (12 rest home and 31 hospital) and third level (7 rest home and 23 hospital).   </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dementia wing includes either a unit coordinator/RN, an RN or a senior caregiver on the AM and PM shifts.  One long and two short shift caregivers assist the RN on the AM shift, and one long and one short shift caregiver assist for the PM shift.  One caregiver covers the night shift with a second flexi-shift caregiver is available if the resident(s) are unsettled.</w:t>
            </w:r>
          </w:p>
          <w:p w:rsidR="00EB7645" w:rsidRPr="00BE00C7" w:rsidP="00BE00C7">
            <w:pPr>
              <w:pStyle w:val="OutcomeDescription"/>
              <w:spacing w:before="120" w:after="120"/>
              <w:rPr>
                <w:rFonts w:cs="Arial"/>
                <w:b w:val="0"/>
                <w:lang w:eastAsia="en-NZ"/>
              </w:rPr>
            </w:pPr>
            <w:r w:rsidRPr="00BE00C7">
              <w:rPr>
                <w:rFonts w:cs="Arial"/>
                <w:b w:val="0"/>
                <w:lang w:eastAsia="en-NZ"/>
              </w:rPr>
              <w:t>In addition to a unit coordinator/RN four days a week, level two is staffed with two RNs on the AM shift, one RN on the PM shift and one RN on the night shift.  Six caregivers (three long and three short shift) cover the AM shift, four caregivers (two long and two short shift) caregivers cover the PM shift and two caregivers cover the night shift (with three caregivers available if the resident acuity is high.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three is staffed with one RN on each shift.  The clinical manager is fulfilling the role of the unit coordinator on this floor until the vacancy is filled.  Two long and three short shift caregivers cover the AM shift, two long and two short shift caregivers cover the PM shift, and one caregiver covers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seven days a week, with one designated activities staff on each of the three floors.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records are also secure using cloud-based technology.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  Information gathered on admission is retained in residents’ records.  Relatives interviewed stated they were well informed upon admission.  The service has a well-developed information pack available for residents/families/whānau at entry, including specific information around secure dementia care.  The admission agreement reviewed aligns with the service’s contracts.  Ten admission agreements viewed were signed.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Transfers to the hospital and back to the facility post-discharge, was well documented in progress notes for one file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 RN checks all medications on delivery against the medication chart and any pharmacy errors recorded and fed back to the supplying pharmacy.  The service uses an electronic medication management system and robotic packs.  The service is using standing orders, the standing orders included a documented annual review.</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 and senior caregivers responsible for the administering of medications have completed annual medication competencies and annual medication education.  Other competencies completed by RNs include insulin administration and syringe driver.  Medication administration observed on each of the three floors all documented a safe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and rooms on each floor had temperatures recorded daily and these were within acceptable ranges.  Twenty medication charts were reviewed across three floors.  Photo identification and allergy status were documented.  All electronic medication charts had been reviewed by the GP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Bupa Hugh Green are prepared and cooked on site.  There is a Bupa wide seasonal menu which has been reviewed by a dietitian.  Dietary needs are known with individual likes and dislikes accommodated.  All food preferences are met.  Fridge and freezer temperatures are taken and recorded daily.  End cooked food temperatures and food temperatures prior to the food being served to the residents are recorded.  A current food control plan is in place expiring end of September 2020.  The re-audit was delayed due to Covid-19.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have completed food safety education.  Staff were observed assisting residents with their meals and drinks.  Supplements are provided to residents with identified weight loss issues.  Resident meetings and surveys allow the opportunity for resident feedback on the meals and food services generally.  Residents and relatives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During lockdown the service ensured that additional snacks and treats were made available to residents as they were unable to visit shops to access the additional snacks.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 protocols within its current documentation.  Bupa assessment booklets on admission and care plan templates were comprehensively completed in the resident files reviewed.  InterRAI assessments including assessment summary, MDS comments and client summary reports were evident in printed format in all files.  All files reviewed identified that risk assessments have been completed on admission and reviewed at least six-monthly as part of the evaluation and multi-disciplinary review process.  Additional assessments for management of behaviour, pain, wound care and restraint were completed according to need.  For the resident files reviewed, formal assessments and risk assessments were in place and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files were reviewed for this audit.  Three at rest home level, three from the secure dementia unit and four at hospital level.  Nine of the ten were for long term residents and one short term respite (rest home level).  Care plans reviewed overall were individualised and demonstrated service integration and input from allied health and specialists.  Long-term care plans sampled identified interventions to support current medical needs and links to specialists involved in resident care.  Of the 10 resident files reviewed; all included all interventions to support all current assessed needs.  Residents and family members interviewed confirmed they are involved in the development and review of care plans.  Short-term care plans were in use for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care summary and care plans reviewed included interventions that reflected the resident’s current needs.  When a resident’s condition changes the RN initiates a GP visit or specialist referral.  Residents interviewed reported their needs were being met.  Family members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folders were reviewed in each of the three areas (top floor, middle floor and dementia unit).  A sample of wound documentation was reviewed including a review of the five current pressure injuries (four facility-acquired grade 2, and one non-facility acquired grade 2).  Wound assessment and management plans provide a record of wound progress and these are being documented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at Bupa High Green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across seven days with activities held during the morning and afternoons.  There is a programme per floor with one-on-one activities also provided.</w:t>
            </w:r>
          </w:p>
          <w:p w:rsidR="00EB7645" w:rsidRPr="00BE00C7" w:rsidP="00BE00C7">
            <w:pPr>
              <w:pStyle w:val="OutcomeDescription"/>
              <w:spacing w:before="120" w:after="120"/>
              <w:rPr>
                <w:rFonts w:cs="Arial"/>
                <w:b w:val="0"/>
                <w:lang w:eastAsia="en-NZ"/>
              </w:rPr>
            </w:pPr>
            <w:r w:rsidRPr="00BE00C7">
              <w:rPr>
                <w:rFonts w:cs="Arial"/>
                <w:b w:val="0"/>
                <w:lang w:eastAsia="en-NZ"/>
              </w:rPr>
              <w:t>The activity team is led by a diversional therapist (DT) who leads a team of another DT and an activities person who is about to graduate as a DT.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ensure all residents have a map of life competed on admission.  They develop the activities and socialisation section of the care plan and ensure reviews are completed at least six-monthly.  Attendance records were maintained in the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monthly planner is developed to include a range of activities.  An activities wall is brightly illustrated which advertises the activities each month.  There are a wide range of activities and residents from the dementia unit often join mainstream activities as well as having dementia-specific activities in the secure unit.  Family members are encouraged to join in activities, including van trips.  Activities include themed activities, tai chi, dog visits, school visits, bingo, library, church services and singalongs.  The service also provides ‘big events’ such as a masquerade ball, and country and western party.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include talking to the residents individually, hand massages, passive exercises, going for walks around the gardens, and reminiscing with photos in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and satisfaction surveys.  Residents and family interviewed stated the activity programme was varied and there were lots to choose from.</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relatives and staff confirmed they fit in well with other residents and enjoy the activities together.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InterRAI assessments have been completed in conjunction with the six-monthly reviews.  Short-term care plans for short-term needs were implemented and evaluated.  There was documented evidence where long-term care plans had been updated where health conditions had changed.  The multidisciplinary review (MDR) involves the RN, GP, physiotherapist, activities staff and resident/family.  The family are notified of the outcome of the review if unable to attend.  Residents interviewed confirmed involvement in the MDR meetings.  There is at least a one or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unit coordinators and RNs identified that the service has access to a wide range of support either through the GP, Bupa specialists and allied services.  Files reviewed included referral to a number of services including (but not limited to) dietitian, wound care specialist, speech language therapist, and occupational 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waste management.  Management of waste and hazardous substances is covered during orientation of new staff and is included as part of the annual training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and an emergency plan to respond to significant waste or hazardous substance management.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datasheets are available in the laundry and the sluices on each floor.  There is a secure sluice on each floor with a sanitiser.  There is a sharps container in the treatment rooms on each floor.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Gloves, aprons and goggles are available for staff.  Infection control policies state specific tasks and duties for which protective equipment is to be worn.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Hot water temperatures are checked monthly.  Medical equipment and electrical appliances have been tested and tagged and calibrated.  A maintenance person is employed full-time.  A reactive and preventative maintenance programme is being implemented.  There are contractors for essential service available 24/7.  The corridors are wide with handrails and promote safe mobility with the use of mobility aids and transferring equipment.  Residents were observed moving freely around the areas with mobility aids where required.  There is a lift between floors that is large enough for stretcher bed.  There are sufficient seating areas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there is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exterior has been well maintained with safe paving, outdoor shaded seating, lawn and gardens.  The service has completed a garden beautification project which involved resident participation and has enhanced the outside of the front of the building immensely.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rooms with full ensuites, rooms with shared ensuites and rooms without ensuites.  There are sufficient numbers of resident communal toilets and showers in close proximity to resident rooms and communal areas.  Visitor toilet facilities are available.  Residents interviewed stated their privacy and dignity is maintained while attending to their personal cares and hygiene.  The communal toilets and showers are well signed and identifiable and include large vacant/in-use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spacious enough to meet the assessed resident needs.  Residents are able to manoeuvre mobility aids around the bed and personal space.  All beds are of an appropriate height for the residents.  Caregivers interviewed reported that rooms have sufficient space to allow cares to take place.  The bedrooms are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dining room on each level.  The dining rooms and lounges are spacious.  All areas are easily accessible for the residents.  The furnishings and seating are appropriate for the consumer group.  Residents interviewed reported they are able to move around the facility and staff assisted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designated housekeeping staff who complete the cleaning and laundry service.  The lockable cleaning trolley is well equipped, and all chemicals are labelled, the trolley is locked and stored in a locked room when not in use.  Protective wear including plastic aprons, gloves, masks and goggles are available in the laundry.  Staff observed on the day of audit were wearing correct protective clothing when carrying out their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has a clean/dirty flow.  Internal audits monitor the effectiveness of the laundry service.  Residents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first aid and CPR are included in the mandatory in-service programme.  At least one staff member is on duty at all times with a current first aid certificate.  The facility has an approved fire evacuation scheme.  Fire evacuation drills take place every six months at a minimum.  Smoke alarms, a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civil defence kit is checked three-monthly.  There is sufficient water stored to ensure for at least three litres per day for three days per resident.  Call bells are evident in residents’ rooms, lounge areas and toilets/bathrooms.  Residents have call bells within reach (sighted), and this was confirmed during resident and relative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visitors’ book at reception for all visitors, including contractors, to sign in and out.  The facility is secured at night.  At the time of the audit, visiting hours were restricted due to Covid-19, with no visitors allowed without special permission.  Covid-19 sign-in is mandatory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Staff are well informed about infection control practises and reporting.  The infection control coordinator is a registered nurse, and she is responsible for infection control across the facility.  The committee and the Bupa governing body is responsible for the development of the infection control programme and its review.  The facility infection control committee consists of a cross-section of staff and there is external input as required from general practitioners, and the Bupa quality &amp; risk team.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and procedures implemented to manage the risk posted by Covid-19.  Bupa has implemented weekly teleconferences during Covid-19 lockdown to ensure staff have the most up-to-date information.  Additional education has been provided around PPE and 100% of staff have attended.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are screened using the Covid-19 screen form prior to admission.  New residents are isolated for 14 days following admission.  All visitors complete a health questionnaire and wear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Hugh Green.  The infection control (IC) coordinator has maintained best practice by attending an external infection control and prevention training day.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  Policy updated reflects Covid-19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hygiene and standard precautions.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training is regularly held as part of the annual training schedule.  IC competencies and toolbox talks are also held.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(RN) collates information obtained through surveillance to determine infection control activities and education needs in the facility.  Infection control data including trends is discussed at quality, health and safety, RN and staff meetings.  Meeting minutes are available to staff.  Trends are identified and analysed, and preventative measures put in place.  The facility benchmarks with other Bupa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or enablers.  This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He understands strategies around restraint minimisation and maintaining a restraint free environment.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including assessing staff competency on RMSP/enablers begins during orientation and continues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7"/>
        <w:gridCol w:w="1280"/>
        <w:gridCol w:w="1159"/>
        <w:gridCol w:w="85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remained restraint-free since it opened in November 2016.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residents have required the use of restraint since the facility opened with examples provided around strategies to managing challenging behaviours and residents at risk of falling.  For example, three sheer curtains are used at the entrances to three residents’ rooms (dementia) to prevent other residents from entering their rooms.  This has proven very successful.  In addition, the clinical manager spends a considerable amount of time educating families on the benefits of not using restraints.  Families are instructed on the risks of restraints and alternatives to keep their family member safe.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Hugh Green Care Home</w:t>
    </w:r>
    <w:bookmarkEnd w:id="58"/>
    <w:r>
      <w:rPr>
        <w:rFonts w:cs="Arial"/>
        <w:sz w:val="16"/>
        <w:szCs w:val="20"/>
      </w:rPr>
      <w:tab/>
      <w:t xml:space="preserve">Date of Audit: </w:t>
    </w:r>
    <w:bookmarkStart w:id="59" w:name="AuditStartDate1"/>
    <w:r>
      <w:rPr>
        <w:rFonts w:cs="Arial"/>
        <w:sz w:val="16"/>
        <w:szCs w:val="20"/>
      </w:rPr>
      <w:t>16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