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Alaama Care Limited - Turama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Alaama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Turama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October 2020</w:t>
      </w:r>
      <w:bookmarkEnd w:id="7"/>
      <w:r w:rsidRPr="009418D4">
        <w:rPr>
          <w:rFonts w:cs="Arial"/>
        </w:rPr>
        <w:tab/>
        <w:t xml:space="preserve">End date: </w:t>
      </w:r>
      <w:bookmarkStart w:id="8" w:name="AuditEndDate"/>
      <w:r w:rsidR="00A4268A">
        <w:rPr>
          <w:rFonts w:cs="Arial"/>
        </w:rPr>
        <w:t>27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Turama House Rest Home provides rest home care for up to 36 residents. The service is operated by an owner/director and managed by a nurse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 management, staff, and a general practitioner.  </w:t>
      </w:r>
    </w:p>
    <w:p w:rsidRPr="00A4268A">
      <w:pPr>
        <w:spacing w:before="240" w:line="276" w:lineRule="auto"/>
        <w:rPr>
          <w:rFonts w:eastAsia="Calibri"/>
        </w:rPr>
      </w:pPr>
      <w:r w:rsidRPr="00A4268A">
        <w:rPr>
          <w:rFonts w:eastAsia="Calibri"/>
        </w:rPr>
        <w:t>No areas requiring improvement were identified.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facility.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nurse manager and general practitioners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facility has implemented policies and procedures that support the minimisation of restraint.  At the time of audit, the facility is restraint and enabler free. There is a comprehensive assessment, approval and monitoring process identified in policy should restraint be required. Policy states that the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trained infection control coordinator, aims to prevent and manage infections.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7"/>
        <w:gridCol w:w="1280"/>
        <w:gridCol w:w="104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of Health and Disability Services Consumers’ Rights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17 verbal complaints have been received over the past year and that actions taken, through to an agreed resolution, are documented and completed within the timeframes. The majority of these in-house complaints related to meals and laundry/clothing.   Action plans showed any required follow up and improvements have been made where possible.  The nurse manager is responsible for complaints management and follow up. All staff interviewed confirmed a sound understanding of the complaint process and what actions are required.   There has been one complaint received from the Health and Disability Commissioner since the previous audit which related to the facility phone line not having a clear reception.   The phone line was checked by an external contractor and no fault found.   All responses required by the commission were sent back within the required timeframe.  The complaint was closed by the commission on the 1 July 2019 with no further action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are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as all residents understand English.  Family either visit and/or translate via phone if needed.  </w:t>
            </w:r>
          </w:p>
          <w:p w:rsidR="00EB7645" w:rsidRPr="00BE00C7" w:rsidP="00BE00C7">
            <w:pPr>
              <w:pStyle w:val="OutcomeDescription"/>
              <w:spacing w:before="120" w:after="120"/>
              <w:rPr>
                <w:rFonts w:cs="Arial"/>
                <w:b w:val="0"/>
                <w:lang w:eastAsia="en-NZ"/>
              </w:rPr>
            </w:pPr>
            <w:r w:rsidRPr="00BE00C7">
              <w:rPr>
                <w:rFonts w:cs="Arial"/>
                <w:b w:val="0"/>
                <w:lang w:eastAsia="en-NZ"/>
              </w:rPr>
              <w:t>Appropriate equipment, resources and allied support was evidenced in the residents’ long-term care plans, for example, one resident whom is unable to verbally communicate points to letters on a communication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longer-term objectives and the associated operational plans.  The owner/director is responsible for financial management, human resources and environmental matters. The nurse manager informs the owner/director of all quality data trends, corrective actions, quality initiatives, emerging risks, and residents’ status.  The owner/director attends the staff monthly meetings and training. She discusses all issues and concerns with the nurse manager via email, telephone or face to face and monitors all service delivery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current owner/manager purchased the facility on the 06 December 2017. She owns three facilities and has worked in the aged care industry for 11 years. The nurse manager has been in the role since May 2019.  Both the owner/director and nurse manager hold relevant qualifications and attend appropriate ongoing education, such as accounting, payroll, palliative and dementia care.  As Covid-19 restrictions have allowed, they have attended Auckland District Health Board (ADHB) on line training and meetings as required.   Responsibilities and accountabilities are defined in a job description and individual employment agreement. Both members of the management team confirmed their knowledge of the sector, regulatory and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Auckland District Health Board (ADHB), and the Ministry of Health (MoH) for rest home level care including respite, chronic health conditions and residents under the age of 65 years.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are 31 rest home level care residents at Turama House Rest Home. Twenty-eight residents were receiving services under the ADHB – Age Related Residential Care contract, one resident was under the ADHB - Long Term Support Chronic Health contract and two residents were under the MOH – Non-Aged Residential Care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monthly management team meetings/quality meetings and staff meetings. Staff reported their involvement in quality and risk management activities through audit activities and discussions in staff meetings.   Relevant corrective actions are developed and implemented to address any shortfalls. Resident and family satisfaction surveys are completed six-monthly. The most recent survey in July 2020 received feedback from 15 residents and three families.  The survey results reviewed by the auditor did not raise any serious concerns with the majority of feedback received showing that overall residents and family were very happy with the care and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and nurse manager described the processes for the identification, monitoring, review and reporting of risks and development of mitigation strategies and are both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owner/director by the nurse manager.</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essential notification reporting requirements, including for pressure injuries.  They advised there has been one notifications of a significant event made to the Ministry of Health, using section 31 reporting since the previous audit on the 13 July 2019 which was resident related. There have been no police investigations, coroners’ inquests, issues-based audits or public health notifications made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All but two care staff have either completed or commenced a New Zealand Qualification Authority education programme to meet the requirements of the provider’s agreement with the DHB; one staff member is retiring soon and another has just commenced employment at the facility.   An external provider is the assessor for the programme.  The nurse manager is the only registered nurse and is sufficiently trained and maintains her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with staff reporting that good access to advice is available when needed by the nurse manager.   Care staff reported there were adequate staff available to complete the work allocated to them.  Residents and family interviewed supported this. Observations and review of a two-week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Turama House Rest Home has a safe system for medicine management using a paper-based system, as was observed on the day of audit. The staff observed administering medicines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nurse manager checks medications against the prescription. All medications sighted were within current use by dates. Clinical pharmacist input was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were in place to ensure this was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investigated, and corrective actions were implemented. Regular monitoring of the medication management system was completed through internal medication management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qualified cooks and is in line with recognised nutritional guidelines for older people.  The menu follows summer and winter patterns in a six-weekly cycle and has been reviewed by a qualified dietitian.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(MPI). Food temperatures, including for high risk items, were monitored appropriately and recorded as part of the plan. The care staff who assist with serving meals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Nutritional assessments were completed for all residents on admission and a diet profile developed. The personal food preferences, any special diets and modified texture requirements were made known to kitchen staff and accommodated in the daily meal plan. Residents always have access to food and fluids to meet their nutritional needs.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meetings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interviewed GP verified that medical input was sought in a timely manner, that medical orders were followed, and care was implemented promptly.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holding the national Certificate in Diversional Therapy. Social history and activities assessments were completed on admission to ascertain residents’ needs, interests, abilities and social requirements. Activities assessments were regularly reviewed to help formulate an activities programme that was meaningful to the residents. The residents’ activity needs were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The activities on the programme include board games, van rides, external entertainment, church activities, pampering sessions, birthday celebrations and monthly theme celebrations. Individual, group activities and regular events were offered. Residents and families/whānau were involved in evaluating and improving the programme through residents’ meetings and satisfaction surveys. Residents interviewed confirmed they found the programme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was evaluated on each shift and reported in the progress notes.  If any change is noted, it is reported to the nurse manager. Formal care plan evaluations occur every six months following the six-monthly interRAI reassessment, or as residents’ needs change. Where progress was different from expected, the service responded by initiating changes to the plan of care. Short-term care plans were implemented for acute conditions including wound infections, chest infections, weight loss and urinary tract infections. The short-term care plans were being consistently reviewed and progress evaluated as clinically indicated. Unresolved problems were added to long term care plans. Residents and families/whānau interviewed reported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15 June 2021)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including shaded outdoor settings.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infection prevention and control coordinator (IPC) reviews all reported infections and these were documented.  New infections and any required management plans were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was collated and analysed to identify any trends, possible causative factors and required actions. Results of the surveillance programme were shared with staff via regular staff meetings and at staff handovers. Graphs were produced that identify trends for the current year, and comparisons against the previous month and this is reported to the director and IPC committee. </w:t>
            </w:r>
          </w:p>
          <w:p w:rsidR="00EB7645" w:rsidRPr="00BE00C7" w:rsidP="00BE00C7">
            <w:pPr>
              <w:pStyle w:val="OutcomeDescription"/>
              <w:spacing w:before="120" w:after="120"/>
              <w:rPr>
                <w:rFonts w:cs="Arial"/>
                <w:b w:val="0"/>
                <w:lang w:eastAsia="en-NZ"/>
              </w:rPr>
            </w:pPr>
            <w:r w:rsidRPr="00BE00C7">
              <w:rPr>
                <w:rFonts w:cs="Arial"/>
                <w:b w:val="0"/>
                <w:lang w:eastAsia="en-NZ"/>
              </w:rPr>
              <w:t>Learnings from the Covid-19 pandemic have been incorporated into practice, with additional staff education implemented. There has been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should they be required.  The restraint coordinator provides support and oversight for enabler and restraint management in the facility and demonstrated a sound understanding of the organisation’s policies, procedures and practice and her role and responsibilities. Policy states that enablers are defined as equipment, devices, or furniture, voluntarily used by a resident following appropriate assessment, that limits normal freedom of movement, with the intent of promoting independence, comfort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or enablers. The restraint coordinator confirmed that restraint would only be used as a last resort when all alternatives have been explored.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Alaama Care Limited - Turama House Rest Home</w:t>
    </w:r>
    <w:bookmarkEnd w:id="58"/>
    <w:r>
      <w:rPr>
        <w:rFonts w:cs="Arial"/>
        <w:sz w:val="16"/>
        <w:szCs w:val="20"/>
      </w:rPr>
      <w:tab/>
      <w:t xml:space="preserve">Date of Audit: </w:t>
    </w:r>
    <w:bookmarkStart w:id="59" w:name="AuditStartDate1"/>
    <w:r>
      <w:rPr>
        <w:rFonts w:cs="Arial"/>
        <w:sz w:val="16"/>
        <w:szCs w:val="20"/>
      </w:rPr>
      <w:t>27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