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Clare House Care Limited - Clare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Clare House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Clare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October 2020</w:t>
      </w:r>
      <w:bookmarkEnd w:id="7"/>
      <w:r w:rsidRPr="009418D4">
        <w:rPr>
          <w:rFonts w:cs="Arial"/>
        </w:rPr>
        <w:tab/>
        <w:t xml:space="preserve">End date: </w:t>
      </w:r>
      <w:bookmarkStart w:id="8" w:name="AuditEndDate"/>
      <w:r w:rsidR="00A4268A">
        <w:rPr>
          <w:rFonts w:cs="Arial"/>
        </w:rPr>
        <w:t>21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Clare House is an aged care facility that provides rest home, medical/geriatric hospital care and dementia care for up to 69 residents. The service is operated by a private company, Clare House Care Limited, and managed by a general manager and a facility clinical manager. Visiting professionals described the care provided as professional and residents and families expressed high levels of satisfaction with the care.</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contracted allied health provider and a general practitioner.  </w:t>
      </w:r>
    </w:p>
    <w:p w:rsidRPr="00A4268A">
      <w:pPr>
        <w:spacing w:before="240" w:line="276" w:lineRule="auto"/>
        <w:rPr>
          <w:rFonts w:eastAsia="Calibri"/>
        </w:rPr>
      </w:pPr>
      <w:r w:rsidRPr="00A4268A">
        <w:rPr>
          <w:rFonts w:eastAsia="Calibri"/>
        </w:rPr>
        <w:t xml:space="preserve">This audit has resulted in a continuous improvement rating in relation to two clinical care projects and identified three areas requiring improvement relating to implementation of aspects of the quality and risk management system, human resources documentation and activity plans for people in the dementia unit.  Improvements have been made to the evaluation of quality data and the storage of oxygen, addressing those areas requiring improvement at the previous certification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promote open communication with residents and family members, especially following medical examinations or an adverse event. There is access to interpreter services if required.   </w:t>
      </w:r>
    </w:p>
    <w:p w:rsidRPr="00A4268A">
      <w:pPr>
        <w:spacing w:before="240" w:line="276" w:lineRule="auto"/>
        <w:rPr>
          <w:rFonts w:eastAsia="Calibri"/>
        </w:rPr>
      </w:pPr>
      <w:r w:rsidRPr="00A4268A">
        <w:rPr>
          <w:rFonts w:eastAsia="Calibri"/>
        </w:rPr>
        <w:t>Residents and family members are informed about how to make a complaint on entry to the service. A complaints register is maintained and demonstrated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business plan, associated documentation and a separate quality and risk management plan include the scope, direction, goals, values and mission statement of the company. Monthly monitoring reports about the services are being provided to the governing body in an effective manner.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An internal audit system is being maintained. Adverse events are documented with corrective actions identified. Actual and potential risks, including health and safety risks, are identified.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on public display. No modifications have been made to the building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At the time of audit, seven residents were voluntarily using enablers, as per their request. Ten restraints were in use and the restraint register provided information on the approval, review and evaluation of their use. Monitoring processes are in place.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complaints register reviewed showed that ten complaints have been received since the previous audit and that actions taken, through to an agreed resolution, are documented within the electronic system and completed within the timeframes. Two complaints remain open awaiting confirmation of the resolution with family members. The general manager, who is responsible for complaint management, noted that all of the complaints had originated as an expressed of concern only. Action plans showed any required follow up and improvements have been made where possible. All staff interviewed confirmed a sound understanding of the complaint process and what actions are required. There have been no complaints received from external sources since the previous audit. A complaint that had been lodged with the Health and Disability Commissioner (HDC) around the time of the previous audit was withdrawn by the complainant and correspondence (November 2018) from the HDC noted the complaint was ‘withdrawn’ and noted that no assessment had been undertaken by their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are consistently advised in a timely manner about any incidents or accidents and outcomes of regular and any urgent medical reviews. This was evident in family communication records in residents’ files reviewed and in the incident recording system. Staff understood the principles of open disclosure, which is supported by policies and procedures that meet the requirements of the Code, including for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though the Southern District Health Board and were aware of the policy and procedure in the policy manual for other options. They informed this has not been required for as far back as those interviewed were aware of. Families are encouraged to provide useful information for assisting their relative with communication if a person has difficulties in this area, especially for those with dementia. A person who has English as a second language but does understand English will often use family to assist with communication in their own language. During the Covid-19 lockdown, electronic systems such as Facebook, Messenger and Video calls were used to support communication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2020 business plan outlines the purpose, scope, direction and goals of the organisation. The documents described annual and longer-term objectives and included a strengths, weaknesses, opportunities and threats overview of the facility and services provided. Associated operational plans were provided by one of the directors. The general manager provides the directors with weekly reports, which are cumulative to monthly reports. Samples of these dating back to 27 June 2020 were viewed. These showed adequate information to monitor performance is being reported and included occupancy, meetings, facilities, defects, maintenance, staffing, financial, marketing, health and safety and other, including pandemic planning. In addition, the general manager has a ‘zoom’ meeting with the one of the directors each week and the two directors visit the facility for a directors’ meeting every quarter.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general manager who holds relevant qualifications and has been in the role for approximately two years. Responsibilities and accountabilities are defined in a job description and individual employment agreement. As a previously trained health professional and over 42 years of service in the health sector, much of which has been in DHB management roles, the general manager confirmed knowledge of the sector, regulatory and reporting requirements. Currency of knowledge is maintained through attending meetings with managers from other local aged care facilities and with the DHB portfolio manager, undertaking additional post graduate education, attending aged care related conferences and maintaining links with a palliative care group and a dementia stakeholder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Southern District Health Board for rest home, medical/geriatric hospital care, dementia care and respite care under the Aged Related Residential Care (ARRC) agreement, as well as for chronic care and palliative care. Sixty-seven residents were receiving services under the ARRC agreement with 20 rest home, 26 hospital and 21 dementia care, one of whom is in residence for respite care. An additional person in an apartment under an occupation right agreement receives subsidised rest home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last audit, the service provider has contracted with a new quality consultant and has commenced implementing a different quality assurance and risk management system. This is clearly documented, reflected the principles of continuous quality improvement and included management of incidents and complaints, internal and external audit activities, monitoring of outcomes and oversight and review of clinical incidents including infections and restraint use. </w:t>
            </w:r>
          </w:p>
          <w:p w:rsidR="00EB7645" w:rsidRPr="00BE00C7" w:rsidP="00BE00C7">
            <w:pPr>
              <w:pStyle w:val="OutcomeDescription"/>
              <w:spacing w:before="120" w:after="120"/>
              <w:rPr>
                <w:rFonts w:cs="Arial"/>
                <w:b w:val="0"/>
                <w:lang w:eastAsia="en-NZ"/>
              </w:rPr>
            </w:pPr>
            <w:r w:rsidRPr="00BE00C7">
              <w:rPr>
                <w:rFonts w:cs="Arial"/>
                <w:b w:val="0"/>
                <w:lang w:eastAsia="en-NZ"/>
              </w:rPr>
              <w:t>Alongside this quality system are policies and procedures that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With implementation of the new quality and risk systems, as well as the interruption of Covid-19, some aspects of quality assurance processes have not been maintained and have resulted in a corrective action being raised. A residents’ food survey has been undertaken but has yet to be analysed. There was good evidence that quality improvement data for incidents, infections and complaints is being collected, analysed and evaluated to identify trends leading to improvements, and these processes address a corrective action raised at the previous audit. Good examples of these have been further described in standard 1.3.3. Internal audits are being completed according to the annual schedule. Relevant corrective actions are developed to address any shortfalls within the quality system.</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the health and safety officer, has undertaken relevant training and is familiar with the Health and Safety at Work Act (2015). Processes in place for the identification, monitoring, review and reporting of risks and development of mitigation strategies were described.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and this is scanned into the electronic incident reporting log. A sample of incidents forms reviewed showed these were fully completed, incidents were investigated, and action plans developed. Not all records showed actions had been followed-up in a timely manner and this has been raised for correction under criterion 1.2.3.7. A log of adverse events is being maintained. Adverse event data is collated, analysed and reported using the quality consultant’s electronic system, which is enabling benchmarking with other similar facilities to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described essential notification reporting requirements. They advised there have been five notifications of significant events made to the Ministry of Health since the previous audit, including for a pressure injury, change of clinical manager, and three people having wandered from the facility with staff not being aware. Overall, the facility clinical manager follows up any clinical issues of concern and preventive measures and the general manager follows through the organisational and environmental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reportedly includes a formal application, an initial interview, referee checks, police vetting and validation of qualifications and practising certificates (APCs), where required. Annual practising certificates for all health professionals who have contact with the residents were viewed and were current. A corrective action has been raised in relation to a lack of evidence that the service provider’s human resource policies and procedures are being consistently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and requires completion of a checklist and designated competencies. New staff are buddied with a longer-term staff person for three days. Staff reported that the orientation process prepares new staff well for their role and ongoing support is provided within the team.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according to the list in the policy manual provided by the quality consultant. All staff are required to complete mandatory requirements at half days provided every six months, with the latest being the week prior to the audit. Care staff have either completed or commenced a New Zealand Qualification Authority education programme to meet the requirements of the provider’s agreement with the DHB, or they are currently undertaking other health related training such as registered or enrolled nursing, or midwifery. A care assistant has gained competency and is now the internal assessor for the programme.  All care assistants (nine) working in the dementia care unit, other than one new person, one doing her enrolled training and one with it underway, have completed the required education. The team leader and registered nurse in the area are highly experienced.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the required training; however, not all annual performance appraisals are being completed within the required timeframe and this has been raised within the corrective action for this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leave and rostering policy and procedure within the organisation’s policies and procedure details the process for determining staffing levels and skill mixes to provide safe service delivery, 24 hours a day, seven days a week (24/7). The general manager and facility clinical care manager described examples of how staffing levels had been adjusted to meet the changing needs of residents.  This was especially evident through implementation of a quality improvement project, which to date has seen a change in the rosters. The project involved staff consultation and union consultation. It commenced with an ‘above the line and below the line’ analysis of what ideal staff relationships would look like and what impact these have on resident care. At the time of audit, the service provider was one week into the changes made to date. Ongoing review is to occur, and evaluation is planned.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   Care staff reported there were adequate staff available to complete the work allocated to them and they have appreciated the consultation process to address what they had perceived as staffing inequities. Residents and family members interviewed confirmed there are adequate staff and that managers are always available to respond when the care staff are busy. Observations and review of five weeks of rosters confirmed adequate staff cover has been provided, with staff replaced in most unplanned absences. In addition to full time staff picking up an extra shift, there is a casual pool of care assistants to call on. When staff are not replaced, a care assistant will work a longer shift and one from the next shift commences their shift earlier.  The facility clinical manager relieves when a registered nurse is absent. As all registered nurses have a current first aid certificate, and there is 24/7 registered nurse cover in the hospital, there is always at least one staff member on duty meeting this requirement. Registered nurses undertake medicine administration whenever possible; otherwise a senior care assistant will undertake this role according to a list in the handover folder. A separate roster for support staff, which includes the activities coordinator, is developed by the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person in a village apartment occupied under an occupation right agreement receives rest home care. A dedicated village care assistant attends to this person Monday to Friday during morning shift hours.  Enrolled nurses include them in their resident allocation on other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with competencies being renewed on an annual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across all three service streams. Appropriate processes are in place to ensure this is managed in a safe manner should it be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cooks and a kitchen team and was in line with recognised nutritional guidelines for older people. The menu follows summer and winter patterns and has been reviewed by a qualified dietitian within the last two years (16 November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Invercargill City Council and is current until 31 August 2021. Food temperatures, including for high risk items, are monitored appropriately and recorded as part of the plan. The food services manager has undertaken a safe food handling qualification, with kitchen assistants completing relevant food handling training as sighted in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All dietary profiles are updated three monthly and the kitchen receives a copy.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residents’ meeting minutes. Residents were seen to be given sufficient time to eat their meal in an unhurried fashion and those requiring assistance had this provided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and physiotherapist interviewed, verified that input is sought in a timely manner, that orders are followed, and care is of a high standard. Care staff confirmed that care was provided as outlined in the documentation. A range of equipment and resources was available including air mattresses, recliner chairs used to change position of immobile residents, and appropriate dressings,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Clare House is provided by three activities coordinators (one who is near finishing her qualification). Each one working in one of the three service streams.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the resident and family/whānau complete a social history to ascertain residents’ needs, interests, abilities and social requirements. Activities assessments and care plans are then completed to help formulate an activities programme that is meaningful to the residents and appropriate to their needs and preferences. The residents’ activity needs are evaluated twice a month documenting engagement and participation and as part of the formal six-monthly care plan review in line with interRAI reassessments.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such as newspaper reading, quiz time, exercises/Tai Chi, and crafts. Clare House has two vans which are used for outings and trips to the shops and library. Individual, group activities and regular events are offered. Residents and families/whānau are involved in evaluating and improving the programme through residents’ meetings and satisfaction surveys. Residents interviewed confirmed they find the programme interesting and varied.</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including ‘fiddle boxes’, nuts and bolts for sorting and taking residents for walks. The requirement to have individualised care plans in regard to behaviour management and activities that cover the 24-hour period is not being met resulting in a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wound management. When necessary, and for unresolved problems, long term care plans are added to and updated. Residents and families/whānau interviewed provided examples of involvement in evaluation of progress and any resulting changes. Care staff stated that they have discussions at handover regarding changes in effectiveness of interventions which are reflected in the care plan evaluations.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that has an expiry date of 13 December 2020 was publicly displayed.  There have been no structural modifications to the facility since the last audit. Changes in regulations related to gas bottle placement has seen a requirement to update the gas safety certificate and for key staff to undertake specific relevant training. The associated requirements have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corrective action regarding oxygen bottle storage was raised at the previous audit. Oxygen bottle storage was checked, and all were secured to the wall as required. Appropriate signage on the door of the storage area and above the oxygen bottles was in place. Tear off sections of the labels on each cylinder demonstrated the status of available oxygen in each bottle. The maintenance person provided records confirming these aspects of oxygen storage are being checked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(with and without a catheter), upper and lower respiratory tract, eyes, skin and tissue, influenza, gastro-intestinal and ‘other’. The infection prevention and control nurse reviews all reported infections, and these are documented directly into the electronic recording system.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at shift handovers. Graphs and monthly summaries that include possible contributing factors, preventive or corrective measures and risk factors are displayed in the staff room and the training room. The graphs produced identify trends for the current year, as well as comparisons against previous years and the industry average. Infection reports are provided to the quality and risk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Evidence of additional information, updates and education for staff during and since the Covid-19 pandemic lockdown was provided. Relevant personal protective equipment is available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was absent during the audit; however, the facility clinical manager described how the restraint coordinator supports staff and provides oversight for enabler and restraint management in the facility. Details on the role and responsibilities of the restraint coordinator are described within the policy documentation.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 restraint and enabler register listed ten residents as using a restraint and seven residents as using an enabler, all of which were bedrails. A similar process is followed for the use of enablers as is used for restraints, excepting the use of an enabler is voluntary, and according to each resident’s request. During interview, staff confirmed their knowledge about the differences between an enabler and a restraint and the monitoring requirements for restraint use. An internal audit on restraint management was completed in September 2020, the month prior to the audit visit.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707"/>
        <w:gridCol w:w="2118"/>
        <w:gridCol w:w="29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assurance and risk management plan described processes against which to measure its objectives. These are not being implemented, reviewed and reported in a consistent manner. For example, there was limited evidence to demonstrate corrective actions developed for quality improvement purposes are always implemented within a timely manner. Only small numbers of staff are attending quality and risk management meetings and staff reported that, other than receiving the graphs about incidents in the staff room, they are no longer involved in aspects of quality and risk management unless they attend these meetings. Residents, next of kin and staff surveys were not undertaken in 2019 and regular reviews of health and safety processes have lapsed.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aspects of the quality and risk system that are not consistent with those described within the quality and risk management plan. These include:</w:t>
            </w:r>
          </w:p>
          <w:p w:rsidR="00EB7645" w:rsidRPr="00BE00C7" w:rsidP="00BE00C7">
            <w:pPr>
              <w:pStyle w:val="OutcomeDescription"/>
              <w:spacing w:before="120" w:after="120"/>
              <w:rPr>
                <w:rFonts w:cs="Arial"/>
                <w:b w:val="0"/>
                <w:lang w:eastAsia="en-NZ"/>
              </w:rPr>
            </w:pPr>
            <w:r w:rsidRPr="00BE00C7">
              <w:rPr>
                <w:rFonts w:cs="Arial"/>
                <w:b w:val="0"/>
                <w:lang w:eastAsia="en-NZ"/>
              </w:rPr>
              <w:t>-</w:t>
              <w:tab/>
              <w:t>Corrective actions identified are not all being closed out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w:t>
              <w:tab/>
              <w:t>Service providers are not all receiving communication / updates about various aspects of the quality and risk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w:t>
              <w:tab/>
              <w:t>Health and safety meetings and follow-up have become infrequent</w:t>
            </w:r>
          </w:p>
          <w:p w:rsidR="00EB7645" w:rsidRPr="00BE00C7" w:rsidP="00BE00C7">
            <w:pPr>
              <w:pStyle w:val="OutcomeDescription"/>
              <w:spacing w:before="120" w:after="120"/>
              <w:rPr>
                <w:rFonts w:cs="Arial"/>
                <w:b w:val="0"/>
                <w:lang w:eastAsia="en-NZ"/>
              </w:rPr>
            </w:pPr>
            <w:r w:rsidRPr="00BE00C7">
              <w:rPr>
                <w:rFonts w:cs="Arial"/>
                <w:b w:val="0"/>
                <w:lang w:eastAsia="en-NZ"/>
              </w:rPr>
              <w:t>-</w:t>
              <w:tab/>
              <w:t>Attendance at quality and risk meetings is minimal</w:t>
            </w:r>
          </w:p>
          <w:p w:rsidR="00EB7645" w:rsidRPr="00BE00C7" w:rsidP="00BE00C7">
            <w:pPr>
              <w:pStyle w:val="OutcomeDescription"/>
              <w:spacing w:before="120" w:after="120"/>
              <w:rPr>
                <w:rFonts w:cs="Arial"/>
                <w:b w:val="0"/>
                <w:lang w:eastAsia="en-NZ"/>
              </w:rPr>
            </w:pPr>
            <w:r w:rsidRPr="00BE00C7">
              <w:rPr>
                <w:rFonts w:cs="Arial"/>
                <w:b w:val="0"/>
                <w:lang w:eastAsia="en-NZ"/>
              </w:rPr>
              <w:t>-</w:t>
              <w:tab/>
              <w:t>Resident, next of kin and staff surveys have not been undertaken; therefore related quality improvement opportunities have not been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for the purpose of maintaining the quality assurance and risk management system and to measure achievement against the quality and risk management plan are implemented. These include the follow-up of corrective actions, the re-institution of health and safety reviews and of resident, relative and staff surveys as well as, staff involvement and improved attendances at relevant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sample of staff records reviewed confirmed the organisation’s policies are mostly being implemented. However, changes in administrative processes have meant that records are not being maintained in a manner that confirms police checks are being completed and nor were signed position descriptions in all of the files. The manager informed that efforts to catch up on overdue annual performance appraisals for all staff have been made; however, records sighted confirmed that a number of these are still outstanding.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lack of evidence that human resource processes are being implemented according to the service provider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Records confirming police checks are being undertaken for new staff are no longer available</w:t>
            </w:r>
          </w:p>
          <w:p w:rsidR="00EB7645" w:rsidRPr="00BE00C7" w:rsidP="00BE00C7">
            <w:pPr>
              <w:pStyle w:val="OutcomeDescription"/>
              <w:spacing w:before="120" w:after="120"/>
              <w:rPr>
                <w:rFonts w:cs="Arial"/>
                <w:b w:val="0"/>
                <w:lang w:eastAsia="en-NZ"/>
              </w:rPr>
            </w:pPr>
            <w:r w:rsidRPr="00BE00C7">
              <w:rPr>
                <w:rFonts w:cs="Arial"/>
                <w:b w:val="0"/>
                <w:lang w:eastAsia="en-NZ"/>
              </w:rPr>
              <w:t>-  Signed position descriptions were not found in five of the sample of eight staff files viewed</w:t>
            </w:r>
          </w:p>
          <w:p w:rsidR="00EB7645" w:rsidRPr="00BE00C7" w:rsidP="00BE00C7">
            <w:pPr>
              <w:pStyle w:val="OutcomeDescription"/>
              <w:spacing w:before="120" w:after="120"/>
              <w:rPr>
                <w:rFonts w:cs="Arial"/>
                <w:b w:val="0"/>
                <w:lang w:eastAsia="en-NZ"/>
              </w:rPr>
            </w:pPr>
            <w:r w:rsidRPr="00BE00C7">
              <w:rPr>
                <w:rFonts w:cs="Arial"/>
                <w:b w:val="0"/>
                <w:lang w:eastAsia="en-NZ"/>
              </w:rPr>
              <w:t>-  Performance appraisals are not being consistently completed on an annual basis.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processes are implemented according to organisational policies and procedures and legislative requirements to ensure the needs of residents are safely met.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Aged Related Residential Cares Services Agreement (ARRC), dementia units are required to have a description in the resident’s file of how challenging behaviour is best managed, and the activities that meet the resident’s needs in relation to individual diversional, motivational and recreational therapy during the 24 hour period reflecting resident’s former routines and activities that are still familiar to the resident (E4.3iii and iv). These 24-hour plans were not found in residents’ records reviewed. The registered nurse confirmed that care and behaviours were managed well but they were not using the 24-hour template that is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some details of activities and behaviour management were observed in the activities care plan; however, none of the residents’ files evidenced a plan describing how behaviour is best managed or activities best suited to the needs of the resident over the 24-hour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 required in clause E4.3iii and iv of the ARRC agreement, each resident in the dementia unit will have a plan describing behaviour management and individualised activities reflecting former routines covering the 24-hour period.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8848"/>
        <w:gridCol w:w="25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a corrective raised in the previous certification audit in relation to the need to collect, analyse and evaluate quality improvement data, the service provider has responded by using the information for specific quality improvement initiatives. At the time of audit, several of these had not yet been evaluated; however, two specific examples can be used to acknowledge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showed a high number of non-fall related skin tears. Data was analysed on a monthly basis. Research was completed about skin moisturising, the GP charted moisturiser, care plans were altered to reflect this intervention and care staff implemented this. In conjunction with this intervention, the physiotherapist held manual handling training sessions and worked with care staff during her visits to ensure safe transfer was taking place. Monthly data was collated and over the period November 2018 – December 2019 a decrease in non-fall related skin tears of 51% was achieved, reducing pain and risk of infection to the resident. </w:t>
            </w:r>
          </w:p>
          <w:p w:rsidR="00EB7645" w:rsidRPr="00BE00C7" w:rsidP="00BE00C7">
            <w:pPr>
              <w:pStyle w:val="OutcomeDescription"/>
              <w:spacing w:before="120" w:after="120"/>
              <w:rPr>
                <w:rFonts w:cs="Arial"/>
                <w:b w:val="0"/>
                <w:lang w:eastAsia="en-NZ"/>
              </w:rPr>
            </w:pPr>
            <w:r w:rsidRPr="00BE00C7">
              <w:rPr>
                <w:rFonts w:cs="Arial"/>
                <w:b w:val="0"/>
                <w:lang w:eastAsia="en-NZ"/>
              </w:rPr>
              <w:t>A second initiative to reduce falls was in place during the same time frame. Incident/accident reports were analysed to identify and address trends using an electronic quality system. Staff education in small groups with the physiotherapist was held in addition to annual training. Policies and procedures were updated to reflect current best practice. Sensor mats, pre-empting toileting, and ongoing physiotherapist input were implemented by staff as part of the initiative. The use of collated data did not show a decrease in the number of falls but instead gave staff a greater understanding of why falls were occurring, specifically the relationship of residents needing to progress into a higher level of care as evidenced by decline in mobility and insight into their safety needs. As a result, when the summary reports showed an increase in an individual’s fall rate staff were able to look at all aspects of care and use it as an early warning tool to arrange reassessment for a higher level of care. This is now being used pro-actively when requesting reassessment of a resident’s care acuity.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analysis of data, research and implementation of education using a team approach is now able to be used to improve service delivery to the residents resulting in less harm, pain, and time and product involved in wound care, and earlier intervention in assessing the level of care required by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Clare House Care Limited - Clare House</w:t>
    </w:r>
    <w:bookmarkEnd w:id="58"/>
    <w:r>
      <w:rPr>
        <w:rFonts w:cs="Arial"/>
        <w:sz w:val="16"/>
        <w:szCs w:val="20"/>
      </w:rPr>
      <w:tab/>
      <w:t xml:space="preserve">Date of Audit: </w:t>
    </w:r>
    <w:bookmarkStart w:id="59" w:name="AuditStartDate1"/>
    <w:r>
      <w:rPr>
        <w:rFonts w:cs="Arial"/>
        <w:sz w:val="16"/>
        <w:szCs w:val="20"/>
      </w:rPr>
      <w:t>20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