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Pururi Court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Puriri Court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October 2020</w:t>
      </w:r>
      <w:bookmarkEnd w:id="7"/>
      <w:r w:rsidRPr="009418D4">
        <w:rPr>
          <w:rFonts w:cs="Arial"/>
        </w:rPr>
        <w:tab/>
        <w:t xml:space="preserve">End date: </w:t>
      </w:r>
      <w:bookmarkStart w:id="8" w:name="AuditEndDate"/>
      <w:r w:rsidR="00A4268A">
        <w:rPr>
          <w:rFonts w:cs="Arial"/>
        </w:rPr>
        <w:t>2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Puriri Court Lifecare provides rest home and hospital level care for up to 72 residents. The service is operated by Heritage Lifecare Limited (HLL) and managed by a care home manager and a clinical services manager. There have been no significant changes to the service and facilities since the previous audit.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including a regional quality manager and a general practitioner (GP). All the interviewees spoke positively about the care provided.</w:t>
      </w:r>
    </w:p>
    <w:p w:rsidRPr="00A4268A">
      <w:pPr>
        <w:spacing w:before="240" w:line="276" w:lineRule="auto"/>
        <w:rPr>
          <w:rFonts w:eastAsia="Calibri"/>
        </w:rPr>
      </w:pPr>
      <w:r w:rsidRPr="00A4268A">
        <w:rPr>
          <w:rFonts w:eastAsia="Calibri"/>
        </w:rPr>
        <w:t xml:space="preserve">There were no areas identified as requiring improvement during this audit. Two areas of continuous improvement were identified in relation to record management and service delivery.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is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service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is not accessible to unauthorised people. Up to date, legible and relevant residents’ records are maintained in using an integrated electronic and additional hardcopy records.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restraints were in use at the time of audit.  A comprehensive assessment, approval and monitoring process with regular reviews occurs. There were five enablers being used.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2"/>
        <w:gridCol w:w="1280"/>
        <w:gridCol w:w="93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Puriri Court Lifecare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Caregivers were observed calling residents by their preferred name.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shopping trips,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Family members interviewed stated they felt welcome when they visited and comfortable in their dealings with staff. Even though there were visitors’ restrictions recently due to the pandemic, residents and family members interviewed stated they felt comfortable about the way it was managed and were kept well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were received in 2019 and nine complaints have been received over the past year and that actions were taken, through to an agreed resolution, are documented and completed within the timeframes. Action plans showed any required follow up and improvements have been made where possible. The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one complaint currently being investigated by the Office of the Health and Disability Commissioner (HDC). All complaints processes have been followed through in a professional manner and all information is filed appropriately. The HLL quality and legal team have until the 08 October to respond to HDC. One complaint to the Northland District Health Board (NDHB) in 2019 was investigated and closed out effectively.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 being made aware of the Code and the Nationwide Health and Disability Advocacy Service (Advocacy Service) as part of the admission information provided and discussion with staff. The Code is displayed in the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of Puriri Court Lifecare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need to maintain privacy and were observed to maintain privacy throughout the audit, when attending to personal cares, ensuring resident information is held securely and privately, exchanging verbal information and in discussion with families.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Fourteen staff and four residents at Puriri Court Lifecare at the time of audit identify as Māori. Staff support residents in the service who identify as Māori to integrate their cultural values and beliefs. The principles of the Treaty of Waitangi are incorporated into day to day practice, as is the importance of whānau. There is a current organisation wide policy on Māori health plan to guide the facility on the development of their own Māori health plan. Guidance on tikanga best practice is available and is supported by staff who identify as Māori in the facility. Māori residents and their whānau interviewed reported that staff acknowledge and respect their individual cultural needs. Guidance on tikanga best practice is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A cultural assessment is also completed during the admission.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Ongoing education is provided on an annual basis which is confirmed in training record.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various quality initiatives to reduce falls rate, urinary tract infections and polypharmacy usage. Also, further to establishing part time GP link nurse role, Puriri Court rest home and hospital has expanded the scope of this role (Refer 1.1.8.1).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through Northland District Health Board, if needed. Staff reported interpreter services were rarely required due to all present residents being able to speak English and/or Māori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Heritage Lifecare strategic and business plans outline the organisation’s direction, purpose and values, and each facility develops their own set of goals and objectives to be achieved each year. The annual plan for Puriri Court Lifecare contained detailed and time framed goals and evidence of progress being made toward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monthly reports from the Care Home Manager (CHM) to their national office confirmed that the information provided is sufficiently detailed to monitor performance and includes narrative on any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CHM who has been in the role for 11 weeks, is a registered nurse with a current annual practising certificate (APC) and has business qualifications and experience in the DHB and the aged care sector both in New Zealand and in Australia. Responsibilities and accountabilities are documented in that person’s job description and individual employment agreement.  Interview with the CHM and review of documents confirmed knowledge of the sector, regulatory and reporting requirements. The CHM has maintained and updated sector knowledge prior to taking on this role. Interview and sighted records of professional development confirmed that compliance with the requirement in the aged related resident care (ARC) contract for managers to attend at least eight hours of training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 with the Northland District Health Board (NDHB) for rest home, respite and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there were 69 residents on site. Nineteen of these were assessed at rest home level care, two respite and 48 residents were receiving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CHM is absent the Clinical Services Manager (CSM) carries out all the required duties under delegated authority with support and back up from the quality coordinator and the regional quality manager. During absences of key clinical staff, the clinical management is overseen by one of the other senior registered nurses who is the quality coordinator/educator who knows the residents and is able to take responsibility for any clinical issues that may arise. The service also has a senior registered nurse in the role of the general practitioner liaison nurse which is unique for this service.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internal audit activities, regular resident and relative satisfaction surveys, surveillance of infections and restraint and implementation of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monthly quality management team meetings, RN and staff meetings. Staff reported their involvement in quality and risk management by the quality data on display which is discussed with them regularly as well as the results from internal audits in their work areas. A new initiative implemented by the CHM is a weekly Monday meeting for all heads of department and a resident clinical review meeting held twice weekly. Minutes of these meetings are maintained and were reviewed. Relevant corrective actions are developed and implemented to address any shortfalls. Resident and family satisfaction surveys are completed annually. The most recent survey had only just occurred and results were not available on the audit days, but the number of written compliments received and the positive response from random interviews of family and residents indicated a high level of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CHM described the processes for the identification, monitoring, review and reporting of risks and development of mitigation strategies. The CHM is familiar with the Health and Safety at Work Act (2015) and all requirements are implemented and embedded into the service.  Staff interviewed were also fully informed in respect of their health and safety obligations and reporting systems are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from 2019 and 2020 showed these were fully completed, incidents were investigated, action plans developed and actions followed-up in a timely manner to prevent recurrence. Adverse event data is collated, analysed and reported monthly to HHL national office for benchmarking. The CHM and the CSM review, comment and sign off all incident reports before they are uploaded in the electronic register for collation and analysis. Significant incidents and trends are discussed with all levels of staff to promote learning and identify remedial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CHM fully understands and described essential notification reporting requirements. Since the previous audit there have been eight section 31 notifications made to the Ministry of Health in 2019 and five this year 2020. All forms reviewed were completed accurately. There have been no coroner’s inquests. One issues-based audit to follow up a complaint to the NDHB was investigated but effectively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The quality coordinator/educator interviewed is responsible for facilitating the education programme and maintains all records.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(NZQA) education programme to meet the requirements of the provider’s agreement with the DHB. Currently there are 34 health care assistants. Seventeen (17) have completed relevant training including seven level 4, four level 3 and six have completed earlier training that is NZQA eg Care of Older Persons certificated courses. Other care staff are paid at level three due to years of experience. Newly employed care staff are encouraged to enrol for 2021 in relevant training and this is currently being organised.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All care staff have completed all relevant competencies such as restraint minimisation and safe practice, manual handling, pressure injury, fire, infection prevention and control. Senior care staff administering medicines have completed the medication competencies annually. The activities coordinators have both completed a first aid course and one has completed the diversional therapy training. </w:t>
            </w:r>
          </w:p>
          <w:p w:rsidR="00EB7645" w:rsidRPr="00BE00C7" w:rsidP="00BE00C7">
            <w:pPr>
              <w:pStyle w:val="OutcomeDescription"/>
              <w:spacing w:before="120" w:after="120"/>
              <w:rPr>
                <w:rFonts w:cs="Arial"/>
                <w:b w:val="0"/>
                <w:lang w:eastAsia="en-NZ"/>
              </w:rPr>
            </w:pPr>
            <w:r w:rsidRPr="00BE00C7">
              <w:rPr>
                <w:rFonts w:cs="Arial"/>
                <w:b w:val="0"/>
                <w:lang w:eastAsia="en-NZ"/>
              </w:rPr>
              <w:t>All registered nurses have completed first aid and life support training. There are eight trained and competent registered nurses who are maintaining their annual competency requirements to undertake interRAI assessments. In addition to this, three RNs are enrolled in the interRAI training for this year. Records reviewed demonstrated completion of the required mandatory and elective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a four-week roster cycle confirmed adequate staff cover has been provided, with staff replaced in any unplanned absence. At least one staff member on duty has a current first aid certificate and there is 24//7 RN coverage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All resident clinical records are maintained on online patient and medication management systems. All staff has individual login/access to this information. Organisation has developed an efficient system to update all resident information onto that integrated patient management system (Refer 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All hard copy documents are scanned and uploaded onto the online systems.</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There are evidences of pharmacy involvement.</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 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residents who self-administer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In February 2020, a quality initiative is implemented aiming to reduce the usage of polypharmacy among the residents and it is still in the initial phase.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who is supported by experienced kitchen hands and is in line with recognised nutritional guidelines for older people.  The menu follows summer and winter patterns and has been reviewed by a qualified dietitian in November 2019.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Whangarei District Council effective from 10 August 2020. Food temperatures, including for high risk items, are monitored appropriately and recorded as part of the plan. All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Registered Nurses (RN) and CSM.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initial care plan. Within three weeks of admission a comprehensive assessment is completed using nursing assessment tools such as pain scale, falls risk, skin integrity, nutritional screening, depression scale and interRAI as a means to identify any deficits and to inform long term care planning. The sample of care plans reviewed had an integrated range of resident-related information. All residents have current interRAI assessments completed by one of 12 trained interRAI assessors on site. </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have evidence of wound management such as wound care plan, evaluation. Evidences of wound managements including photographs of chronic wounds is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(DT) holding the national Certificate in Diversional Therapy and an activities coordinator who is currently training to be a registered DT. A wide range of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activities planner sighted matches the skills, likes, dislikes and interests identified in the assessments. Individual, group activities and regular events are offered. Examples were rest home Olympics (competition among local rest homes), school children visit and external visits to vintage car show, shopping trips, day cares. Residents and families/whānau are involved in evaluating and improving the programme through residents’ meetings, satisfaction surveys. Residents interviewed confirmed they enjoy the programme. A quality improvement plan is initiated this year to improve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Puriri Court Lifecare has contracted GP who does weekly visits. If the need for other non-urgent services are indicated or requested, the GP or RN sends a referral to seek specialist input. Copies of referrals were sighted in residents’ files. All referrals are followed up by the GP or GP link nurse.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December 2020)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are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observed to be safe, well maintained and suitable for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The maintenance request records reviewed confirmed that all requests are attended to in a timely way.  </w:t>
            </w:r>
          </w:p>
          <w:p w:rsidR="00EB7645" w:rsidRPr="00BE00C7" w:rsidP="00BE00C7">
            <w:pPr>
              <w:pStyle w:val="OutcomeDescription"/>
              <w:spacing w:before="120" w:after="120"/>
              <w:rPr>
                <w:rFonts w:cs="Arial"/>
                <w:b w:val="0"/>
                <w:lang w:eastAsia="en-NZ"/>
              </w:rPr>
            </w:pPr>
            <w:r w:rsidRPr="00BE00C7">
              <w:rPr>
                <w:rFonts w:cs="Arial"/>
                <w:b w:val="0"/>
                <w:lang w:eastAsia="en-NZ"/>
              </w:rPr>
              <w:t>Residents said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and additionally designated staff and visitor toilets. Some resident rooms have their own ensuite bathrooms with shower and toilet, some rooms have a toilet only. Appropriately secured and approved handrails are provided in the toilet/shower areas, and other equipment/accessories are available to promote resident independence. Monitoring of hot water temperatures occurs regularly, and the records sighted showed no temperatures above 45 degrees centigrade.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bathroom was under restoration at the time of the audit and this was screened off for resident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except for three designated shared rooms. One couple share a room and the other two rooms there is only one resident in each room sighted.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two small lounge areas, one main lounge and a separate large dining room which is able to accommodate hospital level residents in wheelchairs up to the tables as needed without transfers occurring to dining room chairs. The small lounges are conveniently located to enable easy access for residents. Residents can access areas for privacy, if required. Furniture on visual inspection was in good condition and appropriate to the setting and residents’ needs. There are deck areas off each end of the building near the palliative care area and an outside area which is cool in the winter months but shady in the summer. In the centre of the courtyard is a large Puriri tree with a deck area built around it for residents to sit in the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onsite in a laundry with two designated staff to manage this area of service delivery. One staff member has worked in this role for seventeen years and works effectively with the other team members. The clean and dirty areas are currently totally separated with plans in place to rebuild the laundry so that both clean and dirty areas are in closer proximity to each other to improve this area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Two cleaning staff with an additional staff member available to cover both the cleaning and laundry services are available. Training has been provided as confirmed in interview with cleaning/laundry staff and review of their training records. Chemicals were stored in a designated and lockable room and where needed, chemicals were being decanted into suitable and clearly labelled containers. Safety data sheets and adequate personal protective equipment and resources were sighted and available. The contracted company also has a pest control programme in place. The company involved also visits the facility regularly to check stocks and to order further supplies as needed. There is a separate lockup room for storing cleaning equipment and trollies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resident and relative feedback and the internal audit programme. All areas of the facility were observed to be clean and staff demonstrated that the daily practices occurring ensure maintenance of hygienic, reliable and regular cleaning throughout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staff in their preparation for disasters and describe the procedures to be followed in the event of a fire or other emergency. The current fire evacuation plan was approved by the New Zealand Fire Service 04 October 2016 and trial evacuations take place six-monthly with a copy sent to the New Zealand Fire Service. The most recent trial occurred 30 June 2020. The orientation programme includes fire and security training. Staff confirmed their awareness of the emergency procedures. The onsite fire suppression systems are checked monthly by an appropriately qualified company.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69 residents and the Ministry of Civil Defence and Emergency Management recommendations for the region. The emergency lighting system was being regularly tested by maintenance staff.</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functioning on audit day and residents and families reported staff respond promptly to call bells. The current sensor mat system is connected to the nurse call system and rings often day and night. There is a battery backup for the call bell system. The service provider is presently looking at a more effective call bell system to replace the existing nurse call system.</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 outside sensor light is installed and a security camera is in place. There have been no security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provided sufficient natural light and had opening external windows. One bedroom has a ranch slider door in the palliative area which opens out onto a deck area. Heating is provided by individual electric convector heaters in residents’ rooms and there were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smoking area for the sole resident who smokes, and the organisational smoke free workplace policy is known and adhered to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Puriri Court Lifecare implements an infection prevention and control (IPC) programme to minimises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Coordinator is the designated IPC coordinator, whose role and responsibilities are defined in a job description. Infection control matters, including surveillance results, are reported monthly to the Clinical Services Manager, who then reports it to the Regional Quality Manager. Infection control data is discussed during the staff meetings and quarterly infection control committee meetings and a copy of the minutes are available in the staff room. This infection control committee includes the Care Home manager/ Clinical Services Manager/IPC coordinator, GP link nurse, caregivers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Covid 19 pandemic (currently level 1, on the day of audit), all visitors are requested to log their visit by entering their details on a paper log or by scanning a ministry of health’s bar code.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He has attended relevant study days, as verified in training records sighted, and does quarterly catch ups with Infection control coordinator at the DHB.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There were no infections disease outbreaks reported in the facility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May 2019 and include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In response to recent pandemic, staff have completed training on Covid 19 pandemic (via World Health Organisation’s website), hand hygiene, isolation precautions, use of personal protective equipment and nasopharyngeal swabbing.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Services Manager, IPC committee and Regional Quality Manager. Data is benchmarked internally within other aged residential facilities within the group. Benchmarking has provided assurance that infection rates in the facility are below average for the sector. In January 2020, a quality initiative was implemented to reduce the number of Urinary tract infections which is still progressing.</w:t>
            </w:r>
          </w:p>
          <w:p w:rsidR="00EB7645" w:rsidRPr="00BE00C7" w:rsidP="00BE00C7">
            <w:pPr>
              <w:pStyle w:val="OutcomeDescription"/>
              <w:spacing w:before="120" w:after="120"/>
              <w:rPr>
                <w:rFonts w:cs="Arial"/>
                <w:b w:val="0"/>
                <w:lang w:eastAsia="en-NZ"/>
              </w:rPr>
            </w:pPr>
            <w:r w:rsidRPr="00BE00C7">
              <w:rPr>
                <w:rFonts w:cs="Arial"/>
                <w:b w:val="0"/>
                <w:lang w:eastAsia="en-NZ"/>
              </w:rPr>
              <w:t>Covid 19 pandemic preparedness document is sighted and staff interviewed are aware of this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clinical services manager is the designated restraint coordinator who has been in this role for six years providing support and oversight for enabler and restraint management in the facility. The clinical services manager interviewed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five residents are using enablers voluntarily and five residents are using a restraint. Restraint is used as a last resort when all alternatives have been explored. This was evident on review of the restraint approval group minutes, files reviewed, and from interviews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have terms of reference for the composition and responsibilities of the restraint approval group/committee and the practices at Puriri Court Lifecare adhere to these. Approval for the use of restraint is coordinated by the CSM who is the nominated Restraint Coordinator, the CHM, the GP, unit coordinator, resident representative and the GP link nurse. It was evident from review of restraint approval group meeting minutes, residents’ files and interview with the CSM/restraint coordinator that there are clear lines of accountability, all restraints have been approved, and the overall use of restraints is being monitored and analysed. When the consent forms are signed they are scanned into the electronic system for restraint minimisation and safe practice. Interview with a family member confirmed their involvement in the approval, ongoing review and overall decision making. Safe use of restraint was clearly described in the plans of care reviewed for the five residents with a restraint intervention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this Standard. The CSM/restraint coordinator undertakes an initial assessment with involvement and input from the resident’s family/whānau/EPOA. When interviewed the restraint coordinator demonstrated good knowledge of the process and a family member confirmed their involvement and this was validated by the general practitioner confirming that they were involved and informed about the use of the restraint. During the assessment process identification of the underlying cause, history of restraint use, cultural considerations, alternatives and associated risks were ascertained. The desired outcome was to ensure the resident’s safety and security. Completed assessments were sighted in the records of all the residents who were using a restraint. A senior caregiver is the cultural advisor for the service and is called upon as necessary to meet the cultural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restraint coordinator described how alternatives to restraints are discussed with staff and family members, for example, the use of sensor mats, low- low beds and ‘fall out’ mattresses.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The enabler and restraint registers are maintained separately. The restraint register is kept updated and includes details about the resident, the type of restraint in use, the date of approval and commencement and review periods. The register logs the reasons for ceasing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files showed that the individual use of restraints is reviewed and evaluated during care plan and interRAI reviews, six monthly restraint evaluations and at the three monthly restraint approval committee meetings. Families interviewed confirmed their involvement in the evaluation process and their satisfaction with the restraint process. Enablers are documented in the mobility and transfer section of the long 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three monthly restraint meeting minutes confirmed these as a comprehensive quality review of all restraint use. This meets the requirements of this Standard. Trends in restraint use is reported to the quality and staff meetings. The restraint committee consider the overall use and type of restraint in place, whether all alternatives to restraint had been considered, the effectiveness of the restraint in use, the competency of staff and the appropriateness of restraint / enabler education and feedback received from other parties. Internal audits on restraint also informs these meetings. Any changes to policies, guidelines, education and processes are implemented if indicated. Policies related to restraint minimisation and safe practice are next due for review 05 December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977"/>
        <w:gridCol w:w="33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Based on the positive feedbacks from residents, families and GP, Puriri Court Lifecare has expanded the role of GP link nurse. Currently it is a full time role. In addition to the previous task such as being a facility’s single point of contact with GP and coordinating multidisciplinary team’s inputs, this role has more responsibilities to ensure continuity and high quality of care for the residents. GP link nurse escorts residents to the external appointments which enables the specialists to get more information on resident and the feedback from specialist are followed up with GP in a timely manner. This first-hand information increased knowledge and efficiency of the nursing team which enabled better quality of care for residents. GP interviewed stated that this role is a huge success and it improved the communication with GP and efficiency of follow ups with external specialist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clearly demonstrate expanding of the GP link nurse has contributed in maintaining and delivering high quality clinical care to their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1.2.9.10</w:t>
            </w:r>
          </w:p>
          <w:p w:rsidR="00EB7645" w:rsidRPr="00BE00C7" w:rsidP="00BE00C7">
            <w:pPr>
              <w:pStyle w:val="OutcomeDescription"/>
              <w:spacing w:before="120" w:after="120"/>
              <w:rPr>
                <w:rFonts w:cs="Arial"/>
                <w:b w:val="0"/>
                <w:lang w:eastAsia="en-NZ"/>
              </w:rPr>
            </w:pPr>
            <w:r w:rsidRPr="00BE00C7">
              <w:rPr>
                <w:rFonts w:cs="Arial"/>
                <w:b w:val="0"/>
                <w:lang w:eastAsia="en-NZ"/>
              </w:rPr>
              <w:t>All records pertaining to individual consumer service delivery are integrated.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mid-2018, Puriri Court Lifecare implemented an online patient management system along with their online medication management system. All resident records are uploaded and maintained online now. Each staff has an individual login to access it. There are systems in place to access and operate these online systems during a power and/or internet outage. In case of an emergency or on call situation, implementation on integrated online patient management system and online medication management system has enabled GP to access resident data remotely. It increased the efficiency by reducing duplication and creating a single access point to all patient record. All the patient related documents/reports such as work flow sheet (handover sheet), resident or/and family contact list, allergies list can be easily accessed, updated and printed off this systems.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Implementation of these online systems reduced the use, handling and storage of hard copies/paper copies. Resident information can be accessed remotely for staff with right access such as GP, managers which enabled them to support the clinical team during oncall/emergency situations. Staff and GP interviews confirm that the online systems are efficient and safe.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Pururi Court Rest Home and Hospital</w:t>
    </w:r>
    <w:bookmarkEnd w:id="58"/>
    <w:r>
      <w:rPr>
        <w:rFonts w:cs="Arial"/>
        <w:sz w:val="16"/>
        <w:szCs w:val="20"/>
      </w:rPr>
      <w:tab/>
      <w:t xml:space="preserve">Date of Audit: </w:t>
    </w:r>
    <w:bookmarkStart w:id="59" w:name="AuditStartDate1"/>
    <w:r>
      <w:rPr>
        <w:rFonts w:cs="Arial"/>
        <w:sz w:val="16"/>
        <w:szCs w:val="20"/>
      </w:rPr>
      <w:t>1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