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Grace Joel Retirement Village Limited - Grace Joel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Grace Joel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Grace Joel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October 2020</w:t>
      </w:r>
      <w:bookmarkEnd w:id="7"/>
      <w:r w:rsidRPr="009418D4">
        <w:rPr>
          <w:rFonts w:cs="Arial"/>
        </w:rPr>
        <w:tab/>
        <w:t xml:space="preserve">End date: </w:t>
      </w:r>
      <w:bookmarkStart w:id="8" w:name="AuditEndDate"/>
      <w:r w:rsidR="00A4268A">
        <w:rPr>
          <w:rFonts w:cs="Arial"/>
        </w:rPr>
        <w:t>8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has reconfigured six serviced apartments that were certified for rest home level to be dual-purpose.  Level one rooms 310 to 314 and level two room 411.  The overall certified apartments remain at 30 which includes (24 rest home level and 10 dual-purpose).  The service has also requested reconfiguration of eight large premium rooms in the care centre as suitable as double rooms for married couples as needed.  There are currently two married couples in two of these rooms.  The following double rooms were verified as suitable for a couple– rooms 313, 314, 315, 316 on Hauraki (Level 1) and rooms 413, 414, 415, 416 on Waitemata (Level 2).  This will increase bed numbers in the care centre from 99 beds to 107 beds.  With overall certified beds at 137.</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Grace Joel is part of the Ryman Group of retirement villages and aged care facilities.  They provide rest home and hospital level care for up to 137 residents.  There were 99 residents at the time of the audit.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The village manager is appropriately qualified and experienced and is supported by a regional operations manager, an assistant to the manager, and a clinical manager/registered nurse.  A unit coordinator is employed for each level of care (hospital, rest home, and serviced apartments).  There are quality systems and processes being implemented.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certification audit identified that the service has met all the required standards. </w:t>
      </w:r>
    </w:p>
    <w:p w:rsidRPr="00A4268A">
      <w:pPr>
        <w:spacing w:before="240" w:line="276" w:lineRule="auto"/>
        <w:rPr>
          <w:rFonts w:eastAsia="Calibri"/>
        </w:rPr>
      </w:pPr>
      <w:r w:rsidRPr="00A4268A">
        <w:rPr>
          <w:rFonts w:eastAsia="Calibri"/>
        </w:rPr>
        <w:t>The service has been awarded three continuous improvements around meals, laundry services and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There is an established system for the management of complaints, which meets timeframes determined by HDC.</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to the manager and clinical manager are responsible for the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Quality and risk management programmes are being implemented.  Corrective actions are established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Nursing cover is provided seven days a week and on call 24/7.  Residents and families reported that staffing levels are adequate to meet the needs of the residents.  </w:t>
      </w:r>
    </w:p>
    <w:p w:rsidRPr="00A4268A">
      <w:pPr>
        <w:spacing w:before="240" w:line="276" w:lineRule="auto"/>
        <w:rPr>
          <w:rFonts w:eastAsia="Calibri"/>
        </w:rPr>
      </w:pPr>
      <w:r w:rsidRPr="00A4268A">
        <w:rPr>
          <w:rFonts w:eastAsia="Calibri"/>
        </w:rPr>
        <w:t xml:space="preserve">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comprehensive information/welcome pack is provided to all new residents and family on admission to services.  Registered nurses are responsible for initial assessments, risk assessments, interRAI assessments, and development of care plans in consultation with the resident/relatives.  Care plans demonstrate service integration, are individualised and evaluated six-monthly.  The general practitioner reviews residents on admission and at least three-monthly.    </w:t>
      </w:r>
    </w:p>
    <w:p w:rsidRPr="00A4268A" w:rsidP="00621629">
      <w:pPr>
        <w:spacing w:before="240" w:line="276" w:lineRule="auto"/>
        <w:rPr>
          <w:rFonts w:eastAsia="Calibri"/>
        </w:rPr>
      </w:pPr>
      <w:r w:rsidRPr="00A4268A">
        <w:rPr>
          <w:rFonts w:eastAsia="Calibri"/>
        </w:rPr>
        <w:t xml:space="preserve">The activity team implement the Engage activity programme in the rest home/hospital wings that ensures the abilities and recreational needs of the residents is varied and interesting and involves entertainers, outings and community visitors.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There are three-monthly GP medication reviews.  </w:t>
      </w:r>
    </w:p>
    <w:p w:rsidRPr="00A4268A" w:rsidP="00621629">
      <w:pPr>
        <w:spacing w:before="240" w:line="276" w:lineRule="auto"/>
        <w:rPr>
          <w:rFonts w:eastAsia="Calibri"/>
        </w:rPr>
      </w:pPr>
      <w:r w:rsidRPr="00A4268A">
        <w:rPr>
          <w:rFonts w:eastAsia="Calibri"/>
        </w:rPr>
        <w:t xml:space="preserve">Meals are prepared on site.  The ‘project delicious’ menu is designed by a dietitian at organisational level and provides meal options including gluten free and vegetarian.  Individual and special dietary needs are catered for.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There are six-monthly fire drills.  Staff have attended emergency and disaster management.  There is a first aider on site at all times.  The environment is warm and comfortable.  Housekeeping staff maintain a clean and tidy environment.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one resident with a restraint and one with an enabler.  Appropriate processes are in place for the restraint and the enabler.  Staff receive ongoing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coordinating/providing education and training for staff.  The infection control coordinator has completed training.  The infection control manual outlines a comprehensive range of policies, standards and guidelines, training and education of staff and scope of the programme.  Information obtained through surveillance is used to determine infection control activities, resources and education needs within the facility.  This includes audits of the facility, hand hygiene and surveillance of infection control events and infections.  The service engages in benchmarking with other Ryman facilities.  Staff receive ongoing training in infection control.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18"/>
        <w:gridCol w:w="1280"/>
        <w:gridCol w:w="95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policies and procedures are being implemented that align with the requirements of the Code of Health and Disability Services Consumer Rights (the Code).  Families and residents are provided with information on admission, which includes information on the Code.  Staff receive training about resident rights at orientation and as part of their annual in-service programme.  Interviews with staff confirmed their understanding of the Code.  Staff interviewed included: four healthcare assistants (HCAs), three registered nurses (RNs), two-unit coordinators (also RNs), one laundry person, one lead chef, and two maintenance staff.  Management team interviews included the regional operations manager, the village manager, the assistant to the manager and the clinical manager.  The management team could provide examples of how the Code applies to their job role and responsibilities.  Two rest home and four hospital residents and three hospital relatives interviewed confirmed that staff uphold the rights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and are included in the admission agreement.  Specific consents were viewed for wound photographs and influenza vaccines.  Eleven resident files reviewed (four rest home including one resident in a serviced apartment, one respite and one young person with a disability [YPD]) and seven hospital level of care residents including one in a serviced apartment and one long-term chronic care included written consents.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and/or resuscitation status are signed for separately by the competent resident.  Where the resident is unable to make a decision, the GP makes a medically-indicated not for resuscitation order in consultation with the enduring power of attorney (EPOA).  Copies of EPOA and activation status are available on the resident’s electronic myRyman file under the EPOA icon.  Healthcare assistants (HCAs) and registered nurses (RNs) interviewed confirmed verbal consent is obtained when delivering cares.  Family members interviewed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for the eleven long-term resident files reviewed had been signed within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Residents interviewed confirmed they are aware of their right to access independent advocacy services.  Discussions with family confirmed the service provides opportunities for the family/EPOA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open visiting.  Visitors were observed coming and going during the audit.  The use of contact tracing and PPE as needed was strictly observed.  The activities programmes includes opportunities to attend events outside of the facility.  Residents are assisted to meet responsibilities and obligations as citizens, for example, voting and completion of the census.  Residents are supported and encouraged to remain actively involved in community and external groups.  Families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and on noticeboards.  Interviews with residents and family members confirmed their understanding of the complaints process.  Complainants are provided with information on how to escalate their complaint if resolution is not to their satisfaction.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 register is in place.  The service logs all complaints, including verbal feedback and issues raised through meetings.  As a result of this thorough collection there were 22 complaints on the complaint log.  All complaints documented an investigation and follow-up with the complainant.  Six complaints were related to families concerns during the lockdown.  Quality improvement plans were documented for some complaints including meals and care.</w:t>
            </w:r>
          </w:p>
          <w:p w:rsidR="00EB7645" w:rsidRPr="00BE00C7" w:rsidP="00BE00C7">
            <w:pPr>
              <w:pStyle w:val="OutcomeDescription"/>
              <w:spacing w:before="120" w:after="120"/>
              <w:rPr>
                <w:rFonts w:cs="Arial"/>
                <w:b w:val="0"/>
                <w:lang w:eastAsia="en-NZ"/>
              </w:rPr>
            </w:pPr>
            <w:r w:rsidRPr="00BE00C7">
              <w:rPr>
                <w:rFonts w:cs="Arial"/>
                <w:b w:val="0"/>
                <w:lang w:eastAsia="en-NZ"/>
              </w:rPr>
              <w:t>There was a coroner’s case letter from May, with no issues or findings raised by the coroner during 2020 and one HDC complaint around falls with no recommendations from the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information pack given to prospective residents and families that includes information about the Code and the nationwide advocacy service.  Aspects of the Code are discussed during the admission process with the resident service manager.  Residents and relatives interviewed confirmed that information had been provided to them about the Code.  Large print posters of the Code and advocacy information are visually displayed throughout the facility on noticeboards.  </w:t>
            </w:r>
          </w:p>
          <w:p w:rsidR="00EB7645" w:rsidRPr="00BE00C7" w:rsidP="00BE00C7">
            <w:pPr>
              <w:pStyle w:val="OutcomeDescription"/>
              <w:spacing w:before="120" w:after="120"/>
              <w:rPr>
                <w:rFonts w:cs="Arial"/>
                <w:b w:val="0"/>
                <w:lang w:eastAsia="en-NZ"/>
              </w:rPr>
            </w:pPr>
            <w:r w:rsidRPr="00BE00C7">
              <w:rPr>
                <w:rFonts w:cs="Arial"/>
                <w:b w:val="0"/>
                <w:lang w:eastAsia="en-NZ"/>
              </w:rPr>
              <w:t>Families and residents are informed of the scope of services and any liability for payment of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staff were observed to be respectful of residents’ privacy by knocking on doors prior to entering resident rooms and closing doors while care was being provided.  The service has a philosophy that promotes quality of life and involves residents in decisions about their care.  Residents’ preferences are identified during the admission and care planning process and this includes family involvement.  Interviews with residents confirmed their values and beliefs were considered and that staff were respectful and kind.  Interviews with caregivers described how choice is incorporated into resident care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Instructions provided to residents on entry regarding responsibilities of personal belongings is in their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implemented a Māori health plan.  The service maintains at least annual contact with the iwi.  He Kamaka Waiora, Māori Health service from the DHB, is available as liaison for Māori residents and as support to village for any Māori related advice.</w:t>
            </w:r>
          </w:p>
          <w:p w:rsidR="00EB7645" w:rsidRPr="00BE00C7" w:rsidP="00BE00C7">
            <w:pPr>
              <w:pStyle w:val="OutcomeDescription"/>
              <w:spacing w:before="120" w:after="120"/>
              <w:rPr>
                <w:rFonts w:cs="Arial"/>
                <w:b w:val="0"/>
                <w:lang w:eastAsia="en-NZ"/>
              </w:rPr>
            </w:pPr>
            <w:r w:rsidRPr="00BE00C7">
              <w:rPr>
                <w:rFonts w:cs="Arial"/>
                <w:b w:val="0"/>
                <w:lang w:eastAsia="en-NZ"/>
              </w:rPr>
              <w:t>Ruapotaka Marae Kaumatua Kuia, Taumata group were part of the service celebrations during 2019 and have been asked again for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supporting policies that provide recognition of Māori values and beliefs and identify culturally safe practices for Māori.  Family/whānau involvement is encouraged in assessment and care planning and visiting is encouraged.  Links are established with disability and other community representative groups as requested by the resident/family.  At the time of the audit, no residents identified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whānau are invited to be involved.  Individual beliefs and values are also discussed and incorporated into the resident’s care plan.  Six monthly multi-disciplinary team meetings occur to assess if needs are being met.  Family are invited to attend.  Discussions with residents and family confirmed that residents’ values and beliefs are considered.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the role and responsibilities of the position.  The monthly full staff meetings include discussions on professional boundaries and concerns as they arise.  Interviews with managers and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is collected for each service level.  It is reported through to Ryman Christchurch for collating, monitoring and benchmarking between facilities.  Indicators include (but are not limited to) resident incidents by type, resident infections by type, staff incidents or injuries by type.  Feedback is provided to staff.  Quality improvement plans (QIPs) are developed where results do not meet acceptable targets.  </w:t>
            </w:r>
          </w:p>
          <w:p w:rsidR="00EB7645" w:rsidRPr="00BE00C7" w:rsidP="00BE00C7">
            <w:pPr>
              <w:pStyle w:val="OutcomeDescription"/>
              <w:spacing w:before="120" w:after="120"/>
              <w:rPr>
                <w:rFonts w:cs="Arial"/>
                <w:b w:val="0"/>
                <w:lang w:eastAsia="en-NZ"/>
              </w:rPr>
            </w:pPr>
            <w:r w:rsidRPr="00BE00C7">
              <w:rPr>
                <w:rFonts w:cs="Arial"/>
                <w:b w:val="0"/>
                <w:lang w:eastAsia="en-NZ"/>
              </w:rPr>
              <w:t>The myRyman electronic resident information (eg, care plans, monitoring charts) have been implemented that allow for one-on-one time with residents and less paper-based documentation.  Interventions (eg, weight management, falls management strategies, pain management, neurological observations, behaviour management) documented on myRyman are reviewed by a registered nurse.  MyRyman care plans provide evidence to indicate when cares are being delivered.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general practitioner or nurse practitioner visits the facility four times a week with 24/7 on-call services.  Physiotherapy services are provided five days a week for a total of 20 hours, as well as a physiotherapy assistant five days a week.  In the selection of resident files reviewed, care plans reflected input from physiotherapists, dietitians, and podiatrists.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has introduced a ‘stop and think’ employee campaign using ‘step-back’ cards.  Staff are involved in identifying risks and hazard controls.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guided by the incident reporting policy which outlines responsibilities around open disclosure and communication.  Care plans reviewed identified family involvement in the care plan and progress notes document when family had been consulted or informed.  Staff are required to record family notification when entering an incident into the database.  Eleven adverse events reviewed met this requirement.  Family members interviewed confirmed they are notified following a change of health status of their family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Grace Joel is one of the Ryman group of villages.  The facility is modern and spacious.  They are certified to provide rest home and hospital levels of care for up to 99 residents in the care centre.  In addition, there are 30 serviced apartments certified to provide rest home level care including ten certified as dual-purpose.  There were 99 residents on the days of audit.   This included; 65 residents at hospital level including: one funded through the long-term chronic conditions contract (LTS-CHC) and five in the serviced apartments.  There were 34 residents at rest home level including one younger person disabled (YPD), five respite and four in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five floors/levels, the top floor is serviced apartments only.  The second floor has serviced apartments and 49 dual-purpose beds in the care centre, the first floor has 50 dual-purpose beds in the care centre and also has serviced apartments, the ground floor has administration and serviced apartments, and the lower ground floor/level has village services (kitchen and laundry) and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originally had 30 serviced apartments certified to provide rest home level care including four dual-purpose serviced apartments.  HealthCERT letter (dated 8 October 2019) identified that the service has reconfigured a further six serviced apartments to be dual-purpose.  Level one rooms 310 to 314 and level two room 411.  Overall certified apartments will remain at 30 which includes (20 rest home level and 10 dual-purpose).  The service has also requested reconfiguration of eight large premium rooms in the care centre as suitable as double rooms for married couples as needed.  There are currently two married couples in two of these rooms.  The following double rooms were verified as suitable for a couple– rooms 313, 314, 315, 316 on Hauraki (Level 1) and rooms 413, 414, 415, 416 on Waitemata (Level 2).  This will increase bed numbers in the care centre from 99 beds to 107 beds.  With overall certified beds at 137.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key operations quality initiatives document.  Quality objectives and quality initiatives are set annually, specific to Grace Joel.  Each objective includes an action place and person(s) responsible.  There are specific projects with action plans related to clinical, health &amp; safety, human resources and resident/relative feedback.  Details of progress are reported quarterly.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Grace Joel has been VM for 3 years and has attended Ryman leadership and other programmes.  He is supported by an assistant to the manager, a clinical manager, three RN unit coordinators and a regional operations manager.  The clinical manager (CM) has been in the role for six years.  </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maintained more than eight hours annually of professional development related to managing an aged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assistant to the manager and clinical manager are responsible during the temporary absence of the village manager with additional support provided by the regional operations manager.  The UCs are responsible for clinical operations during the temporary absence of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that is directed by head office (Ryman Christchurch) is established and implemented.  Quality and risk performance is reported across the facility meetings (TeamRyman committee meetings) and also to the organisation’s management team.  Discussions with managers and staff, and the review of meeting minutes demonstrated the collective involvement of managers and staff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The village manager attends the meetings, and minutes are maintained.  Resident and relative surveys are scheduled to be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Service-appropriate management systems, policies, and procedures are developed, implemented and regularly reviewed, meeting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Each month the service documents an analysis of quality outcomes across a range of issues (falls, distressed behaviour, bruises, pressure injuries, urinary tract infections, respiratory infection and wound infections).  The results of this report are used to determine the following month’s actions.  Results are communicated to staff across a variety of meetings and reflect actions being implemented and signed off when completed.  The internal audit programme is followed as per the schedule.  Five of twenty-six internal audit results reflected less than acceptable outcomes (clinical care, health and safety, medication, wound care and waste management).  A quality improvement plan (QIP) and or focus group was initiated for each of these internal audits and followed up.  Two QIPs had been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Meetings are held monthly.  The health and safety officer was interviewed (a maintenance staff member).  There are procedures to guide staff in managing clinical and non-clinical emergencies.  The service documents and analyses incidents/accidents, unplanned or untoward events and provides feedback to the service and staff.  Health and safety data is tabled at staff and management meetings.  A review of the risk register, and the maintenance register indicated that there is resolution of issues identified.  All new staff and contractors are inducted to health and safety processes.  There is also annual in-service training and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falls are monitored monthly with strategies implemented to reduce the number of falls.  Healthcare assistants and RNs interviewed were knowledgeable in regard to preventing falls and identifying those residents who were at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using VCare for each incident/accident with immediate action(s) and any follow-up action required evidenced.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eleven incident/accident reports (eg, witnessed and unwitnessed falls, challenging behaviours) included follow-up by a registered nurse.  There were timely neurological observations if there was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The managers and unit coordinators are involved in the adverse event process via regular management meetings and informal meetings during the week that provide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were able to identify situations would be reported to statutory authorities.  Notifications included: one coroner’s investigation and one HDC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(HR) policies including recruitment, selection, orientation and staff training and development.  Thirteen staff files were randomly selected for review (four HCAs, one clinical manager, three-unit coordinators, one chef, two activities staff and two RNs). Each file included an application form and two reference checks, a signed employment contract, job description, police check, and completed orientation programme.  All files reviewed also included an annual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nurses and one enrolled nurse’s current practising certificates are held on site.  Practicing certificates for other health practitioners (GPs, physiotherapists, dietitian, pharmacy) are also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online orientation/induction programme provides new staff with relevant information for safe work practice.  The general orientation programme that is attended by all staff, covers (but is not limited to) Ryman’s commitment to quality, code of conduct, staff obligations, health and safety including incident/accident reporting, infection control and manual handling.  The second aspect to the orientation programme is tailored specifically to the job role and responsibilities.  Healthcare assistants are required to complete workbooks on their role, the resident’s quality of life, a safe and secure environment and advanced care of residents.  Healthcare assistants are buddied with more experienced staff and complete checklists for routine care, personal hygiene and grooming, and linen removal.  Staff are allocated three months to complete their orientation programme.  The service is active with the Careerforce programme for staff; 24 HCAs have achieved level three Careerforce, eleven level four and 27 the dementia unit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and staff training records are maintained.  Staff also complete annual competency questionnaires.  RNs are supported to maintain their professional competency.  Seventeen of nineteen RNs have completed their interRAI training.  RNs and ENs attend journal club.  A minimum of one staff holding a current CPR/first aid certificate is available 24/7 at the care facility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competencies for RNs and Healthcare assistants</w:t>
              <w:tab/>
              <w:t xml:space="preserve"> related to specialised procedures or treatments including (but not limited to) medication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assistant to the manager and clinical manager work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Three-unit coordinators; there is one for level two; Waitemata, there is one for level one; Hauraki and one for the serviced apartments levels three and ground floor.  Unit coordinators work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levels one and two care floors are all dual service beds (hospital and rest home).  The hospital level serviced apartment beds are located very closely to the nurse’s stations on each of the two floors.  Up to 30 serviced apartments can provide rest home level care including 10 located next to the care centre that can provide dual-purpose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for level two Waitemata unit.  There are 54 beds on this floor of the care centre (including four double rooms).  There were 32 residents at hospital level and 13 rest home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floor is staffed with two RNs on the AM shift and two across the PM shift and one for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long and four short HCAs are on the AM shift, three long and three short HCAs are on the PM shift and three HCAs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Staffing for level one Hauraki unit.  There are 53 beds on this floor of the care centre (including four double rooms). There were 28 residents at hospital level and 18 rest home level.  The floor is staffed with one RN on the AM shift and one for each for the PM and the night shift.  Three long and three short caregivers are on the AM shift, three long and three short caregivers are on the PM shift and two caregivers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are currently nine residents (five hospital and three rest home).  There is a unit coordinator on the morning shift Tuesday to Saturday and a senior care assistant on Sunday and Monday.  There are three care assistants (one full and two short-shifts) on morning shift and three care assistants (one full and two short-shifts) and three care assistants on afternoon shift.  The hospital RN and care staff covers the serviced apartment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the residents interviewed.  Staff interviewed stated that overall,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information (hard copy and electronic) is protected from unauthorised access.  Entries are legible, dated and signed by the relevant care staff or registered staff, including their designation.  Residents’ files demonstrated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long-term admission agreements sighted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three residents self-administering on the day of audit.  A consent form had been signed and the resident deemed competent to self-administer.  The eye drops, and creams were stored safely.   There are no standing orders.  There are no vaccines stored on site.  There are three secure medication rooms across each floor.</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blister pack system.  Medications are checked on arrival and any pharmacy errors recorded and fed back to the supplying pharmacy.  RNs administer all medications.  Staff attend annual education and have an annual medication competency completed.  All RNs have syringe driver training by the hospice.  The medication room temperature is checked daily and the fridge temperature is checked weekly.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Twenty-two medication charts were reviewed (fourteen hospital and eight rest home).  Medications are reviewed at least three-monthly by the GP.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lead chef and a cook who work full time.  There are two kitchen assistants and one kitchenhand.  All cooks have current food safety certificates.  The lead chef oversees the procurement of the food and management of the kitchen.  There is a well-equipped kitchen, and all meals and baking are cooked on site.  Meals are served in each area from hot boxes.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involved in catering for resident special events and functions and host fine dining every two weeks.  On the day of audit, the lead chef gave a cooking demonstration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verified on 11 January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back to the referring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myRyman care plan interventions.  There was an initial assessment and plan for the respite resident.  Other assessment tools in use included (but not limited to) nutrition, wound and continence.</w:t>
            </w:r>
          </w:p>
          <w:p w:rsidR="00EB7645" w:rsidRPr="00BE00C7" w:rsidP="00BE00C7">
            <w:pPr>
              <w:pStyle w:val="OutcomeDescription"/>
              <w:spacing w:before="120" w:after="120"/>
              <w:rPr>
                <w:rFonts w:cs="Arial"/>
                <w:b w:val="0"/>
                <w:lang w:eastAsia="en-NZ"/>
              </w:rPr>
            </w:pPr>
            <w:r w:rsidRPr="00BE00C7">
              <w:rPr>
                <w:rFonts w:cs="Arial"/>
                <w:b w:val="0"/>
                <w:lang w:eastAsia="en-NZ"/>
              </w:rPr>
              <w:t>Assessments are also completed when there is a change in health status or incident and as part of completing the six-monthly care plan review.  When assessments are due these are automatically scheduled in the RNs electronic daily calendar.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myRyman care plans reviewed evidenced multidisciplinary involvement in the care of the resident.  All care plans are resident centred.  Interventions documented support needs and provide detail to guide care.  Changes to a resident’s health status are altered in/added to the care plan.  Residents and relatives interviewed stated that they were involved in the care planning process and there was documented evidence of this.  There was also evidence of service integration with documented input from a range of specialist care professionals including the hospice nurse, wound care nurse, gerontologist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and there was documented evidence of this.  All myRyman care plans sampled had interventions documented to meet the needs of the resident and there is documented evidence of the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electronic incident forms and written in the progress notes.  Neurological observations are completed as per policy.  Family are notified.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that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Electronic wound assessment, wound management and wound evaluation forms are in place for all wounds.  Wound monitoring occurs as planned.  RNs are notified on the daily electronic schedule when wounds are due to be redressed.  There are currently sixteen wounds being treated.  One chronic wound has had input from the GP and wound care nurse and there are photos of the wounds progress.  There are currently four pressure injuries.  One is non-facility acquired.  The stage three pressure injury has had input from the GP, wound care nurse and dietitian and there are photos of the injuries progress.  Pressure relieving equipment is available and is being used.  HCAs document changes of position electronically.</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in use as applicable such as weight, vital signs and wounds.  Electronic behaviour charts are available for any residents that exhibit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who works 26 hours a week and two activities and lifestyle coordinators, one of whom works 32 hours a week and the other 25.5.  This team covers Monday through Sunday.  There is one activities and lifestyle coordinator for each level, but they also work closely together and share many activities such as church services, happy hour and entertainment.  There is also an activities and lifestyle coordinator in the village, and she works closely with the serviced apartment activities and lifestyle coordinator and they share many activities.  On the day of audit residents were observed listening to news and views, participating in triple A exercises, going for walks, playing balloon tennis and enjoying an Oktoberfest celebration.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Each resident is also given a copy of the weekly programme to keep in their room.  The Ryman Engage programme is utilised and residents have the choice of a variety of activities in which to participate, and every effort is made to ensure activities are meaningful and tailored to residents’ needs.  Each lounge has an activities box which may be utilised by all staff at any time.  There is a monthly theme.  There is a men’s’ club and a knitting group.  Aqua-aerobics is held in the pool weekly.  This has just recommenced post level-three lockdown.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interdenominational church service weekly and a Catholic service every Sunday.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area has a van outing twice weekly.   </w:t>
            </w:r>
          </w:p>
          <w:p w:rsidR="00EB7645" w:rsidRPr="00BE00C7" w:rsidP="00BE00C7">
            <w:pPr>
              <w:pStyle w:val="OutcomeDescription"/>
              <w:spacing w:before="120" w:after="120"/>
              <w:rPr>
                <w:rFonts w:cs="Arial"/>
                <w:b w:val="0"/>
                <w:lang w:eastAsia="en-NZ"/>
              </w:rPr>
            </w:pPr>
            <w:r w:rsidRPr="00BE00C7">
              <w:rPr>
                <w:rFonts w:cs="Arial"/>
                <w:b w:val="0"/>
                <w:lang w:eastAsia="en-NZ"/>
              </w:rPr>
              <w:t>Special events like birthdays, Easter, Mothers’ Day, Anzac Day and the Melbourne Cup are celebrated.  There is entertainment every week at Happy Hour.  Every second Friday residents may choose to go to ‘fine dining’, but this is at their expense.</w:t>
            </w:r>
          </w:p>
          <w:p w:rsidR="00EB7645" w:rsidRPr="00BE00C7" w:rsidP="00BE00C7">
            <w:pPr>
              <w:pStyle w:val="OutcomeDescription"/>
              <w:spacing w:before="120" w:after="120"/>
              <w:rPr>
                <w:rFonts w:cs="Arial"/>
                <w:b w:val="0"/>
                <w:lang w:eastAsia="en-NZ"/>
              </w:rPr>
            </w:pPr>
            <w:r w:rsidRPr="00BE00C7">
              <w:rPr>
                <w:rFonts w:cs="Arial"/>
                <w:b w:val="0"/>
                <w:lang w:eastAsia="en-NZ"/>
              </w:rPr>
              <w:t>There is pet therapy every second month.  Some residents in the serviced apartments have their own cat.</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the local preschools, schools and Māori cultural groups.  A group of volunteers come in weekly to read to residents.</w:t>
            </w:r>
          </w:p>
          <w:p w:rsidR="00EB7645" w:rsidRPr="00BE00C7" w:rsidP="00BE00C7">
            <w:pPr>
              <w:pStyle w:val="OutcomeDescription"/>
              <w:spacing w:before="120" w:after="120"/>
              <w:rPr>
                <w:rFonts w:cs="Arial"/>
                <w:b w:val="0"/>
                <w:lang w:eastAsia="en-NZ"/>
              </w:rPr>
            </w:pPr>
            <w:r w:rsidRPr="00BE00C7">
              <w:rPr>
                <w:rFonts w:cs="Arial"/>
                <w:b w:val="0"/>
                <w:lang w:eastAsia="en-NZ"/>
              </w:rPr>
              <w:t>Residents attend groups such as embroidery club, bridge club and the RSA.  Some residents go out shopping or for coffees.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one YPD resident has a mild intellectual impairment and is happy to just join in the activities on offer.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The activity assessment is incorporated into the myRyman care plan and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plans reviewed (with the exception of the respite resident) had been evaluated by the registered nurse six monthly.  Care plans had been updated with any changes to health and care.  Activities plans (incorporated in the myRyman plan) had also been evaluated six-monthly.  The multidisciplinary review involves the RN, GP, physiotherapist and resident/family if they wish to attend.  There is at least a three-monthly review by the GP.  The family members interviewed confirmed that they are informed of any changes to the care plan and the results of the review if unable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mental health services for older people and the hospice.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Staff interviewed were aware of practices outlined in relevant policy.  Gloves, aprons, and goggles are available for all care staff and laundry/housekeeping staff.  Infection control policies state specific tasks and duties for which protective equipment is to be worn.  Chemicals are labelled correctly and stored safely throughout the facility.  Safety datasheets and product information is available.  The chemical provider monitors the effectiveness of chemicals and provides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13 November 2020.  There is a head maintenance person who works full time and is available on call.  There are two part time assistants.  There are two full time gardeners and one part time assistant.  Contracted plumbers and electricians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reactive maintenance and planned maintenance schedule.  Electrical equipment has been tested and tagged.  The hoists and scales are checked annually.  Hot water temperatures have been monitored randomly in resident areas and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The building is across three levels and there are lifts between each floor.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using mobility aids.  There is adequate storage and space in the rest home and hospital wings for safe manoeuvring of hoists within bedrooms and for hospital level lounge chairs in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access outdoor areas safely or with supervision.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reconfigured a further six serviced apartments that were certified for rest home level to be dual-purpose.  Level one rooms 310 to 314 and level two room 411.  Overall certified apartments remain the same at 30 which includes (20 rest home level and 10 dual-purpose). The dual-purpose rooms are close to the hospital and are spacious enough to manage equipment.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also requested reconfiguration of eight large premium rooms in the care centre as suitable as double rooms for married couples as needed.  There are currently two married couples in two of these rooms.  The following double rooms were verified as suitable for a couple– rooms 313, 314, 315, 316 on Hauraki (Level 1) and rooms 413, 414, 415, 416 on Waitemata (Level 2).  This will increase bed numbers in the care centre from 99 beds to 107 beds.  With overall certified beds at 139.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(including the serviced apartments) have full toilet/shower ensuites.  There are adequate numbers of communal toilets located near the communal areas.  Toilets have privacy locks.  Non-slip flooring and handrails are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are two married couples who share a room, and the rooms are sufficiently spacious to accommodate this.  These rooms were verified at this audit as suitable for couples.  Privacy screens are available if required.  All bedrooms and ensuites are spacious for the safe use and manoeuvring of mobility aids.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floor (unit) has a large open-plan dining area with kitchenette and lounge area.  On one side is a spacious lounge and the other side is the dining area.  There is another smaller quieter lounge/library located off the main lounge.  The open plan lounge is large enough for individual or group activities.  All serviced apartments also have their own spacious lounge and kitchenette.  Rest home and hospital residents in serviced apartments can access the lounges in the care centre or the village lounge.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ground floor level is the village centre with communal areas available to care centre residents including the library, shop, chapel, gym, swimming pool and hairdressers.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with the service policies and procedures.  The laundry is located in the lower ground service area.  The laundry has a double door and has an entry and exit with defined clean/dirty areas.  All linen and personal clothing is laundered on site.  There are two full time laundry staff seven days a week and one assistant from 3 pm – 6 pm.  All laundry is sorted prior to washing.  There are large commercial washing machines and dryers.  There is a large folding table and laundry is placed into a delivery trolley for distribution to resident rooms.  The service has a secure area for the storage of cleaning and laundry chemicals in the laundry.  Material safety datasheets are readily accessible.  There has been some previous dissatisfaction with laundry services. </w:t>
            </w:r>
          </w:p>
          <w:p w:rsidR="00EB7645" w:rsidRPr="00BE00C7" w:rsidP="00BE00C7">
            <w:pPr>
              <w:pStyle w:val="OutcomeDescription"/>
              <w:spacing w:before="120" w:after="120"/>
              <w:rPr>
                <w:rFonts w:cs="Arial"/>
                <w:b w:val="0"/>
                <w:lang w:eastAsia="en-NZ"/>
              </w:rPr>
            </w:pPr>
            <w:r w:rsidRPr="00BE00C7">
              <w:rPr>
                <w:rFonts w:cs="Arial"/>
                <w:b w:val="0"/>
                <w:lang w:eastAsia="en-NZ"/>
              </w:rPr>
              <w:t>Cleaners were observed wearing appropriate protective clothing while carrying out their duties.  Cleaners’ trolleys were well equipped, and all chemical bottles had the correct manufacturer’s labels.  Cleaners’ trolleys are kept in locked cupboards when not in use.  There is a sluice room on each care centre level.  Each sluice room has a sluice washing machine.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are happy with the cleanliness of their bedrooms and communal areas.  Other feedback is received through resident meetings and results of internal audits.  The chemical provider conducts monthly quality control checks on the equipment and efficiency of chemicals in the laundry and housekeeping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There is a minimum of one first aid trained staff member on every shift.  The care centre has an approved fire evacuation plan and fire drills take place six monthly at a minimum.  Smoke alarms, sprinkler system and exit signs are in place.  The service has emergency generators on site that are serviced by an external contractor.  There are gas BBQs available in the event of a power failure and torches.  Emergency lighting is in place.  There are civil defence kits in each unit and adequate stores of drinkable and non-drinkable water on site.  </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available in each resident room.  There are call bells and emergency bells in communal areas.  There is a nurse presence bell when a nurse/carer is in the resident room; a green light shows staff outside that a colleague is in a particular room.  The call bell system has a cascading system of call recognition that cascades if not responded to within a certain time from the primary nurse (caregiver) to the unit coordinator, to the clinical manager and to the village manager.  The system software is monitored.  Residents are also issued with call bell pendants for those who are able to use them.  Security processes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is gas heating throughout the facility.  Staff and residents interviewed stated that this is effective.  All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programme is appropriate for the size and complexity of the service.  An infection control coordinator (unit coordinator) is responsible for infection control across the facility.  A job description outlines the role and responsibilities.  The infection prevention and control committee meet two monthly and comprise of a cross-section of staff.  The infection control coordinator provides monthly reports to head office and to the full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set out annually from head office and directed via the quality programme.  The programme is reviewed annually by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visitors and contractors are required to complete an electronic health declaration which also serves as contact tracing.  Residents and staff are offered the annual influenza vaccine.  All staff are now required to have an influenza vaccine prior to commencing work at Ryman as part of the Ryman initiative against Covid-19.  Residents transferring from hospital or the community are placed in isolation for 14 days.  There are adequate hand sanitisers and signage throughout the facility.  There is an outbreak management bin and an ample stock of personal protective equipment that is checked weekly.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completed the infection control induction on appointment to the role and attends an annual head office organised education programme via teleconferencing.</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Grace Joel have implemented the Ryman Covid-19 precautions.  All visitors wear masks, have temperatures recorded and must complete health screening.  An additional cleaning schedule has been implemented.  Weekly updates from the central office have been sent to all Ryman facilities including Grace Joel.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prevention and control policies that are current and reflected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  There is resource information and plans around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The orientation/induction package includes specific training around hand hygiene and standard precautions, and training is provided both at orientation and as part of the annual training schedule.  All staff complete hand hygiene audits six monthly.  In-services have been provided around personal protective equipment and outbreak management and there has been particular emphasis on this since Covid-19.  Infection control is an agenda item on the full facility and clinical meeting agenda.  Any new communication regarding Covid-19 is relayed to staff via the myRyman noticeboard and at handovers.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are appropriate to the complexity of service provided.  Individual infection report forms are completed for all infections and are kept as part of the online resident files.  Infections are included on an electronic register and the infection prevention coordinators complete a monthly report.  Monthly data is reported to the infection control committee and meeting minutes are available to staff.  Staff are informed of surveillance through the variety of clinical meetings held at the facility.  The infection prevention and control programme links with the quality programme including internal audits.  There is close liaison with the GPs and laboratory service that advise and provide feedback and information to the service.  Systems in place are appropriate to the size and complexity of the facility.  Benchmarking against other Ryman facilities occur.  Quality improvements are commenced for any areas identified for improvement.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RN unit coordinator is the restraint coordinator.  On interview she confirmed her knowledge around both restraints and enablers.  During the audit, there was one resident using a restraint and one with an enabler.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including staff competencies are implemented addressing restraint minimisation and enablers, falls prevention and analysis, and the management of challenging behaviours.  This begins during their induction to the service and continues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(unit coordinator/RN)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files of one resident with a restraint and one with an enabler both documented a robust consent and approval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RNs in partnership with the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files were selected for review (both bed rails, one was a restraint, and one was an enabler).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An internal restraint audit, conducted six-monthly,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Consistent evidence was documented to verify checks were evidenced on the monitoring form for the two residents’ files where restraint was in use.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six-monthly.  Restraint use is discussed in the RN meetings,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61"/>
        <w:gridCol w:w="1280"/>
        <w:gridCol w:w="2386"/>
        <w:gridCol w:w="84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four-weekly menu cycle is approved by a dietitian.  The residents have a choice of two options for lunch and dinner.  Residents can provide feedback on meals through feedback books (at each level), residents’ meetings and direct contact with the food service staff.  All residents/families interviewed were satisfied with the meals.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February 2018 the service identified that the meal service was an area for improvement and commenced a programme to improve the meal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interventions were implemented including; two choices for the evening meal, the chef serving meals to residents on a rotating basis through each of the dining rooms, encouraging feedback on meals by providing comment books in the dining room and ensuring the feedback was communicated to the kitchen.  There was also additional training for staff around food handling and food presentation.  New menus were implemented for lunch and dinner. </w:t>
            </w:r>
          </w:p>
          <w:p w:rsidR="00EB7645" w:rsidRPr="00BE00C7" w:rsidP="00BE00C7">
            <w:pPr>
              <w:pStyle w:val="OutcomeDescription"/>
              <w:spacing w:before="120" w:after="120"/>
              <w:rPr>
                <w:rFonts w:cs="Arial"/>
                <w:b w:val="0"/>
                <w:lang w:eastAsia="en-NZ"/>
              </w:rPr>
            </w:pPr>
            <w:r w:rsidRPr="00BE00C7">
              <w:rPr>
                <w:rFonts w:cs="Arial"/>
                <w:b w:val="0"/>
                <w:lang w:eastAsia="en-NZ"/>
              </w:rPr>
              <w:t>The plan documents regular evaluation and changes depending on the resident feedback and changes included raising the standard of food purchased, providing more savoury snacks and providing more seasonal vegetables with meals.  Some meals were adapted for particular resident preferences such as adding honey to whipped cream and more gravy/sauce with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these interventions, resident surveys identified an improvement in meal satisfaction in the 2020 survey, from 3.61/5 for 2019 to 3.64/5 for 2020.  The project has also impacted on the overall weight of the residents with a steady reduction in the total amount of residents losing weight.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Dissatisfaction with laundry services was evident in the care centre relatives’ survey in February 2018.  The facility commenced a project to improve laundry services, decrease the amount of unlabelled and lost clothing and increase support systems to support laundry personnel.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project was implemented.  The facility now has regular ‘huddles’ with the laundry personnel. A new labelled clothing request form has been developed and delicate clothing has distinctive red labels to avoid shrinkage.  Laundry staff have had education around checking labels for each clothing item before washing so as to capture any clothing that may accidently be unlabelled.  Care centre staff have had education on the laundry process and what delicate clothing looks like.  Laundry material charts are displayed in all sluice rooms.  Laundry audits are conducted regularly to ensure the laundry is operating as per policy.  Any clutter in the laundry is removed so there is always a clear area for labelling which reduces the risk of lost items.  There is an ironing priority list to ensure those who expect fast turn-around have their expectations met.  There has been a reduction in lost property evidenced since the implementation of the project.  Laundry audits met with 94% compliance.  In August 2020, the relatives’ satisfaction survey was up to 4.30 from 4.06 in August 2019.  In February 2020, the residents’ satisfaction survey was up from 4.22 to 4.77 in February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the clinical indicator data showed that urinary tract infection (UTI) rates in the rest home were high with August 2019 at 3.47/1000 bed nights and at its highest, reaching 4.49/1000 bed nights in December 2019.  The facility aimed to reduce rates in the rest home below the industry benchmark of 1.5/1000 bed nights.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trend analysis of UTI rates was completed.  The GP is involved as soon as an UTI is suspected.  </w:t>
            </w:r>
          </w:p>
          <w:p w:rsidR="00EB7645" w:rsidRPr="00BE00C7" w:rsidP="00BE00C7">
            <w:pPr>
              <w:pStyle w:val="OutcomeDescription"/>
              <w:spacing w:before="120" w:after="120"/>
              <w:rPr>
                <w:rFonts w:cs="Arial"/>
                <w:b w:val="0"/>
                <w:lang w:eastAsia="en-NZ"/>
              </w:rPr>
            </w:pPr>
            <w:r w:rsidRPr="00BE00C7">
              <w:rPr>
                <w:rFonts w:cs="Arial"/>
                <w:b w:val="0"/>
                <w:lang w:eastAsia="en-NZ"/>
              </w:rPr>
              <w:t>Fluid intake is encouraged –</w:t>
            </w:r>
          </w:p>
          <w:p w:rsidR="00EB7645" w:rsidRPr="00BE00C7" w:rsidP="00BE00C7">
            <w:pPr>
              <w:pStyle w:val="OutcomeDescription"/>
              <w:spacing w:before="120" w:after="120"/>
              <w:rPr>
                <w:rFonts w:cs="Arial"/>
                <w:b w:val="0"/>
                <w:lang w:eastAsia="en-NZ"/>
              </w:rPr>
            </w:pPr>
            <w:r w:rsidRPr="00BE00C7">
              <w:rPr>
                <w:rFonts w:cs="Arial"/>
                <w:b w:val="0"/>
                <w:lang w:eastAsia="en-NZ"/>
              </w:rPr>
              <w:t>* a jug of water is always on hand for residents (unless on fluid restriction)</w:t>
            </w:r>
          </w:p>
          <w:p w:rsidR="00EB7645" w:rsidRPr="00BE00C7" w:rsidP="00BE00C7">
            <w:pPr>
              <w:pStyle w:val="OutcomeDescription"/>
              <w:spacing w:before="120" w:after="120"/>
              <w:rPr>
                <w:rFonts w:cs="Arial"/>
                <w:b w:val="0"/>
                <w:lang w:eastAsia="en-NZ"/>
              </w:rPr>
            </w:pPr>
            <w:r w:rsidRPr="00BE00C7">
              <w:rPr>
                <w:rFonts w:cs="Arial"/>
                <w:b w:val="0"/>
                <w:lang w:eastAsia="en-NZ"/>
              </w:rPr>
              <w:t>* residents are taken to the lounge after cares so fluid intake can be monitored and encouraged</w:t>
            </w:r>
          </w:p>
          <w:p w:rsidR="00EB7645" w:rsidRPr="00BE00C7" w:rsidP="00BE00C7">
            <w:pPr>
              <w:pStyle w:val="OutcomeDescription"/>
              <w:spacing w:before="120" w:after="120"/>
              <w:rPr>
                <w:rFonts w:cs="Arial"/>
                <w:b w:val="0"/>
                <w:lang w:eastAsia="en-NZ"/>
              </w:rPr>
            </w:pPr>
            <w:r w:rsidRPr="00BE00C7">
              <w:rPr>
                <w:rFonts w:cs="Arial"/>
                <w:b w:val="0"/>
                <w:lang w:eastAsia="en-NZ"/>
              </w:rPr>
              <w:t>* drinks of choice are offered</w:t>
            </w:r>
          </w:p>
          <w:p w:rsidR="00EB7645" w:rsidRPr="00BE00C7" w:rsidP="00BE00C7">
            <w:pPr>
              <w:pStyle w:val="OutcomeDescription"/>
              <w:spacing w:before="120" w:after="120"/>
              <w:rPr>
                <w:rFonts w:cs="Arial"/>
                <w:b w:val="0"/>
                <w:lang w:eastAsia="en-NZ"/>
              </w:rPr>
            </w:pPr>
            <w:r w:rsidRPr="00BE00C7">
              <w:rPr>
                <w:rFonts w:cs="Arial"/>
                <w:b w:val="0"/>
                <w:lang w:eastAsia="en-NZ"/>
              </w:rPr>
              <w:t>* smoothies/high protein drinks are offered if resident has a poor appetite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food and fluid chart is commenced if intake is inadequate.  </w:t>
            </w:r>
          </w:p>
          <w:p w:rsidR="00EB7645" w:rsidRPr="00BE00C7" w:rsidP="00BE00C7">
            <w:pPr>
              <w:pStyle w:val="OutcomeDescription"/>
              <w:spacing w:before="120" w:after="120"/>
              <w:rPr>
                <w:rFonts w:cs="Arial"/>
                <w:b w:val="0"/>
                <w:lang w:eastAsia="en-NZ"/>
              </w:rPr>
            </w:pPr>
            <w:r w:rsidRPr="00BE00C7">
              <w:rPr>
                <w:rFonts w:cs="Arial"/>
                <w:b w:val="0"/>
                <w:lang w:eastAsia="en-NZ"/>
              </w:rPr>
              <w:t>RNs review and clean suprapubic catheter sites daily.  In-service training on prevention of UTIs, continence and catheters has occurred.  There are scheduled toileting rounds for immobile residents and those residents with cognitive impairment are reminded to go to the toilet.  UTIs are reviewed through monthly PowerBi reports.  UTI numbers, trends and preventative interventions are discussed at all relevant meetings.</w:t>
            </w:r>
          </w:p>
          <w:p w:rsidR="00EB7645" w:rsidRPr="00BE00C7" w:rsidP="00BE00C7">
            <w:pPr>
              <w:pStyle w:val="OutcomeDescription"/>
              <w:spacing w:before="120" w:after="120"/>
              <w:rPr>
                <w:rFonts w:cs="Arial"/>
                <w:b w:val="0"/>
                <w:lang w:eastAsia="en-NZ"/>
              </w:rPr>
            </w:pPr>
            <w:r w:rsidRPr="00BE00C7">
              <w:rPr>
                <w:rFonts w:cs="Arial"/>
                <w:b w:val="0"/>
                <w:lang w:eastAsia="en-NZ"/>
              </w:rPr>
              <w:t>Since implementation there has been a significant reduction in UTI rates.  There was a spike in March 2020 at 2.73/1000 bed nights and July 2020 at 2.17/1000 bed nights but apart from that for five of the past nine months most of the UTI rates were minimal or zero.</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Grace Joel Retirement Village Limited - Grace Joel Retirement Village</w:t>
    </w:r>
    <w:bookmarkEnd w:id="58"/>
    <w:r>
      <w:rPr>
        <w:rFonts w:cs="Arial"/>
        <w:sz w:val="16"/>
        <w:szCs w:val="20"/>
      </w:rPr>
      <w:tab/>
      <w:t xml:space="preserve">Date of Audit: </w:t>
    </w:r>
    <w:bookmarkStart w:id="59" w:name="AuditStartDate1"/>
    <w:r>
      <w:rPr>
        <w:rFonts w:cs="Arial"/>
        <w:sz w:val="16"/>
        <w:szCs w:val="20"/>
      </w:rPr>
      <w:t>7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