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Masonic Care Limited - Glenwood Masonic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Masonic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Glenwood Masonic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October 2020</w:t>
      </w:r>
      <w:bookmarkEnd w:id="7"/>
      <w:r w:rsidRPr="009418D4">
        <w:rPr>
          <w:rFonts w:cs="Arial"/>
        </w:rPr>
        <w:tab/>
        <w:t xml:space="preserve">End date: </w:t>
      </w:r>
      <w:bookmarkStart w:id="8" w:name="AuditEndDate"/>
      <w:r w:rsidR="00A4268A">
        <w:rPr>
          <w:rFonts w:cs="Arial"/>
        </w:rPr>
        <w:t>29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As requested by HealthCERT, a reconfiguring has been included in this report. Reconfigure a double room in unit 1 into a single room with an ensuite and build a new room with ensuite onto the existing building. In unit 2 build a new single room at the end of the passageway joining onto the existing passageway and new double suite with an ensuite created from an existing office.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Glenwood Masonic Hospital provides residential care for up to 48 residents who require rest home and hospital level care. The facility is operated by Masonic Care Limited.  </w:t>
      </w:r>
    </w:p>
    <w:p w:rsidRPr="00A4268A">
      <w:pPr>
        <w:spacing w:before="240" w:line="276" w:lineRule="auto"/>
        <w:rPr>
          <w:rFonts w:eastAsia="Calibri"/>
        </w:rPr>
      </w:pPr>
      <w:r w:rsidRPr="00A4268A">
        <w:rPr>
          <w:rFonts w:eastAsia="Calibri"/>
        </w:rPr>
        <w:t>This surveillance audit was conducted against the Health and Disability Service Standards. The audit process included review of policies and procedures, review of residents’ and staff files, observations, and interviews with residents, family/whānau, management, staff and a general practitioner.</w:t>
      </w:r>
    </w:p>
    <w:p w:rsidRPr="00A4268A">
      <w:pPr>
        <w:spacing w:before="240" w:line="276" w:lineRule="auto"/>
        <w:rPr>
          <w:rFonts w:eastAsia="Calibri"/>
        </w:rPr>
      </w:pPr>
      <w:r w:rsidRPr="00A4268A">
        <w:rPr>
          <w:rFonts w:eastAsia="Calibri"/>
        </w:rPr>
        <w:t xml:space="preserve">Reconfiguration includes creating bedrooms and ensuites built from new and existing rooms. </w:t>
      </w:r>
    </w:p>
    <w:p w:rsidRPr="00A4268A">
      <w:pPr>
        <w:spacing w:before="240" w:line="276" w:lineRule="auto"/>
        <w:rPr>
          <w:rFonts w:eastAsia="Calibri"/>
        </w:rPr>
      </w:pPr>
      <w:r w:rsidRPr="00A4268A">
        <w:rPr>
          <w:rFonts w:eastAsia="Calibri"/>
        </w:rPr>
        <w:t>A continuous improvement rating continues to be awarded relating to planned activities provided seven days a week.</w:t>
      </w:r>
    </w:p>
    <w:p w:rsidRPr="00A4268A">
      <w:pPr>
        <w:spacing w:before="240" w:line="276" w:lineRule="auto"/>
        <w:rPr>
          <w:rFonts w:eastAsia="Calibri"/>
        </w:rPr>
      </w:pPr>
      <w:r w:rsidRPr="00A4268A">
        <w:rPr>
          <w:rFonts w:eastAsia="Calibri"/>
        </w:rPr>
        <w:t>Areas requiring improvement at the previous audit relating to residents’ care plans not fully describing required support, ongoing medication training and monitoring of cleaning and laundry processes have been addressed.</w:t>
      </w:r>
    </w:p>
    <w:p w:rsidRPr="00A4268A">
      <w:pPr>
        <w:spacing w:before="240" w:line="276" w:lineRule="auto"/>
        <w:rPr>
          <w:rFonts w:eastAsia="Calibri"/>
        </w:rPr>
      </w:pPr>
      <w:r w:rsidRPr="00A4268A">
        <w:rPr>
          <w:rFonts w:eastAsia="Calibri"/>
        </w:rPr>
        <w:t>There are no areas requiring improvement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formal interpreter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 There have been no complaint investigations by an external agency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Masonic Care Limited is the governing body and is responsible for the services provided.  A strategic business plan includes a mission, purpose, vision, values and goals. There is regular reporting by the facility manager to the chief executive officer who reports to the trust board.</w:t>
      </w:r>
    </w:p>
    <w:p w:rsidRPr="00A4268A">
      <w:pPr>
        <w:spacing w:before="240" w:line="276" w:lineRule="auto"/>
        <w:rPr>
          <w:rFonts w:eastAsia="Calibri"/>
        </w:rPr>
      </w:pPr>
      <w:r w:rsidRPr="00A4268A">
        <w:rPr>
          <w:rFonts w:eastAsia="Calibri"/>
        </w:rPr>
        <w:t>The facility is managed by an experienced and suitably qualified manager who is a registered nurse.  The facility manager is supported by a clinical nurse leader who is responsible for the clinical services.</w:t>
      </w:r>
    </w:p>
    <w:p w:rsidRPr="00A4268A">
      <w:pPr>
        <w:spacing w:before="240" w:line="276" w:lineRule="auto"/>
        <w:rPr>
          <w:rFonts w:eastAsia="Calibri"/>
        </w:rPr>
      </w:pPr>
      <w:r w:rsidRPr="00A4268A">
        <w:rPr>
          <w:rFonts w:eastAsia="Calibri"/>
        </w:rPr>
        <w:t>Quality and risk management systems are in place.  There is an internal audit programme. Adverse events are documented on accident/incident forms.  Quality data is being collated, analysed and evidenced corrective action plans are developed and implemented.  Quality meetings include infection control, restraint and health and safety. Various staff meetings are all held on a regular basis.</w:t>
      </w:r>
    </w:p>
    <w:p w:rsidRPr="00A4268A">
      <w:pPr>
        <w:spacing w:before="240" w:line="276" w:lineRule="auto"/>
        <w:rPr>
          <w:rFonts w:eastAsia="Calibri"/>
        </w:rPr>
      </w:pPr>
      <w:r w:rsidRPr="00A4268A">
        <w:rPr>
          <w:rFonts w:eastAsia="Calibri"/>
        </w:rPr>
        <w:t>There are policies and procedures on human resources management. Human resource processes are followed. An in-service education programme is provided for staff.</w:t>
      </w:r>
    </w:p>
    <w:p w:rsidRPr="00A4268A">
      <w:pPr>
        <w:spacing w:before="240" w:line="276" w:lineRule="auto"/>
        <w:rPr>
          <w:rFonts w:eastAsia="Calibri"/>
        </w:rPr>
      </w:pPr>
      <w:r w:rsidRPr="00A4268A">
        <w:rPr>
          <w:rFonts w:eastAsia="Calibri"/>
        </w:rPr>
        <w:t>There is a documented rationale for determining staffing levels and skill mixes to provide safe service delivery that is based on best practice. The facility manager and clinical nurse leader are rostered on call after hours.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Glenwood Masonic Hospital have their needs assessed by the multidisciplinary team on admission and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run by three diversional therapists. The programme provides residents with a variety of individual and group activities seven days a week and enable residents to maintain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at the main entrance.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were residents using enablers and restraints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of aged care specific infections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flow chart and associated forms meet the requirements of Right 10 of the Code. The information is provided to residents and families on admission and there are complaints information and forms available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shows five complaints have been received in the past 12 months. The facility manager (FM) is responsible for the management of complaints. Documentation was reviewed for two complaints and evidenced Right 10 of the Code has been met. Staff interviewed demonstrated a good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reported there have been no investigations by the Health and Disability Commissioner, the Ministry of Health, District Health Board (DHB), Accident Compensation Corporation (ACC), Coroner or Police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stated they were kept well informed about any changes to their/their relative’s status and outcomes of regular and any urgent medical reviews. This was supported in the residents’ files reviewed. Staff understood the principles of open disclosure, which is supported by policy and procedures that meet the requirements of the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when required. There were no residents requiring an interpreter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Masonic Care Limited is governed by a board of trustees which meets 11 times a year.  A strategic business plan 2016-2021 includes a purpose, vision, mission, goals and operational development. The facility has specific business goals that are reviewed throughout the year to monitor progress and then formally annually. Two weekly zoom meetings are held with the chief executive officer (CEO) and other facility managers within the group when a wide ranges of activities are reported on. The FM reported the FM and chief executive officer (CEO) discuss activities relating to Glenwood Masonic Hospital via phone at least weekly. Quarterly meetings are held with the CEO and managers where the overall activities concerning the facility are reported on and discussed. Facility monthly management meetings are held with the senior team and chaired by the FM. Interview with the manager and review of meeting minutes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reported zoom meetings were held weekly with the DHB during the Covid 19 lockdown and are fortnightly now. The FM reported these have been and are informative and keep everyone up to date.   </w:t>
            </w:r>
          </w:p>
          <w:p w:rsidR="00EB7645" w:rsidRPr="00BE00C7" w:rsidP="00BE00C7">
            <w:pPr>
              <w:pStyle w:val="OutcomeDescription"/>
              <w:spacing w:before="120" w:after="120"/>
              <w:rPr>
                <w:rFonts w:cs="Arial"/>
                <w:b w:val="0"/>
                <w:lang w:eastAsia="en-NZ"/>
              </w:rPr>
            </w:pPr>
            <w:r w:rsidRPr="00BE00C7">
              <w:rPr>
                <w:rFonts w:cs="Arial"/>
                <w:b w:val="0"/>
                <w:lang w:eastAsia="en-NZ"/>
              </w:rPr>
              <w:t>The service philosophy and mission statement are in an understandable form and are available to residents and their family / representative and other services involved in referring people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extensive experience in the aged care sector, is a RN and was appointed to the position in June 2015. The FM is supported by a clinical nurse leader (CNL) who is a registered nurse and was appointed to their current position in October 2016. The CNL is responsible for oversight of clinical care. The FM and CNL are supported by head office staff. Interviews with the FM and CNL and review of their files evidenced they have undertaken on-going education in relevant areas. </w:t>
            </w:r>
          </w:p>
          <w:p w:rsidR="00EB7645" w:rsidRPr="00BE00C7" w:rsidP="00BE00C7">
            <w:pPr>
              <w:pStyle w:val="OutcomeDescription"/>
              <w:spacing w:before="120" w:after="120"/>
              <w:rPr>
                <w:rFonts w:cs="Arial"/>
                <w:b w:val="0"/>
                <w:lang w:eastAsia="en-NZ"/>
              </w:rPr>
            </w:pPr>
            <w:r w:rsidRPr="00BE00C7">
              <w:rPr>
                <w:rFonts w:cs="Arial"/>
                <w:b w:val="0"/>
                <w:lang w:eastAsia="en-NZ"/>
              </w:rPr>
              <w:t>Five of the eight RNs, plus the FM and CNL are interRAI trained and have current competencies.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Glenwood Masonic Hospital is certified to provide hospital and rest home level care.  On the day of audit there were 21 hospital level care residents including one resident  under the age of 65 years under the Long Term Support – Chronic Health Conditions’ contract with the DHB and one YPD resident under the age of 65 years under a contract with the Ministry of Health. There were 22 rest home level care residents including six residents under an ‘Occupational Right Agreement’ (ORA) and one resident under the respite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contracts with the DHB to provide Aged Related Residential Care, Health Recovery Programme, Long Term Support – Chronic Health Conditions’ ‘Residential Care for Palliative Care Patients’ and ‘Respite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letter to the provider from HealthCERT dated the 28 February 2020 saying a partial provisional audit was to be completed relating to the reconfiguration was sighted. The FM reported they queried this as the reconfiguration is in two stages. Several emails were sighted from the DAA Group, HealthCERT and the DHB relating to this. Including that the DHB had visited the facility and supports the reconfiguration. HealthCERTs email of the 24 June 2020 states that as the DHB has no concerns therefore HealthCERT is happy for the beds to be occupied and follow up with an unannounced surveillance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Reconfiguration consists of a double room in unit 1 changed to a single room with an ensuite and the build of a room with ensuite onto the existing building. In unit 2 the build of a single room at the end of the passageway joining onto the existing passageway and double suite with an ensuite created from an existing office. </w:t>
            </w:r>
          </w:p>
          <w:p w:rsidR="00EB7645" w:rsidRPr="00BE00C7" w:rsidP="00BE00C7">
            <w:pPr>
              <w:pStyle w:val="OutcomeDescription"/>
              <w:spacing w:before="120" w:after="120"/>
              <w:rPr>
                <w:rFonts w:cs="Arial"/>
                <w:b w:val="0"/>
                <w:lang w:eastAsia="en-NZ"/>
              </w:rPr>
            </w:pPr>
            <w:r w:rsidRPr="00BE00C7">
              <w:rPr>
                <w:rFonts w:cs="Arial"/>
                <w:b w:val="0"/>
                <w:lang w:eastAsia="en-NZ"/>
              </w:rPr>
              <w:t>The reconfiguration does not increase the certified number because the exiting double rooms have always been used for single accommodation.</w:t>
            </w:r>
          </w:p>
          <w:p w:rsidR="00EB7645" w:rsidRPr="00BE00C7" w:rsidP="00BE00C7">
            <w:pPr>
              <w:pStyle w:val="OutcomeDescription"/>
              <w:spacing w:before="120" w:after="120"/>
              <w:rPr>
                <w:rFonts w:cs="Arial"/>
                <w:b w:val="0"/>
                <w:lang w:eastAsia="en-NZ"/>
              </w:rPr>
            </w:pPr>
            <w:r w:rsidRPr="00BE00C7">
              <w:rPr>
                <w:rFonts w:cs="Arial"/>
                <w:b w:val="0"/>
                <w:lang w:eastAsia="en-NZ"/>
              </w:rPr>
              <w:t>All bedrooms have been approved as dual purpose.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management plans guide the quality programme.  Purpose, goals and objectives and scope are included in the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satisfaction survey completed in 2019 evidenced high satisfaction with the services provided including those residents under the age of 65 years.  </w:t>
            </w:r>
          </w:p>
          <w:p w:rsidR="00EB7645" w:rsidRPr="00BE00C7" w:rsidP="00BE00C7">
            <w:pPr>
              <w:pStyle w:val="OutcomeDescription"/>
              <w:spacing w:before="120" w:after="120"/>
              <w:rPr>
                <w:rFonts w:cs="Arial"/>
                <w:b w:val="0"/>
                <w:lang w:eastAsia="en-NZ"/>
              </w:rPr>
            </w:pPr>
            <w:r w:rsidRPr="00BE00C7">
              <w:rPr>
                <w:rFonts w:cs="Arial"/>
                <w:b w:val="0"/>
                <w:lang w:eastAsia="en-NZ"/>
              </w:rPr>
              <w:t>Completed audits for 2020, clinical indicators and quality improvement data were recorded on various registers and forms.  Review of the quality improvement data provided evidence the data was being collected, collated, and analysed to identify trends and corrective actions are being developed, implemented and evaluated. Quality data is benchmarked including graphs, by an external agency and within the group.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quality (including infection control, health and safety and restraint and risk management), staff and RN/EN meetings are held monthly and minutes were reviewed. The FM and quality coordinator stated quality data is discussed at the various meetings. There was documented evidence of reporting on various clinical indicators and quality and risk issues in these meetings.  Staff reported that copies of meeting minutes and comprehensive graphs are available for them to review in the handover room.  This was confirmed by observations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relevant to the scope and complexity of the service, reflect current accepted good practice, and reference legislative requirements. Policies / procedures that are Trust wide are reviewed at head office. Facility wide policies and procedures are reviewed two yearly, discussed at the quality meetings and staff are advised. All policies were current with a footer including the review date.  Policies are held electronically for all staff to access and a hardcopy is kept in the handover room. Staff confirmed they are advised of updated policies and that the policies and procedures provid appropriate guidance for the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manual is available.  Risks are identified that identifies health and safety risks as well as risks associated with human resources management, legislative compliance, contractual  and clinical risk. All areas have a copy for the hazard/risk register specific to the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documenting adverse, unplanned or untoward events on an accident/incident form. Review of the forms is completed by the RN and forwarded to the CNL who is responsible for any investigation, action plans and identification of any trends.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communication with families following adverse events involving the resident, or any change to the resident’s health status.  Families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stated they are aware of essential notification reporting to external agencies. Staff stated they are made aware of their essential notification responsibilities through job descriptions, policies and procedures, and professional codes of conduct. Review of staff files confirmed this. Policy and procedures comply with essential notification reporting. The FM reported there have been four section 31s to HealthCERT since the previous audit relating to two residents absconding with police involvement and two pressure injuries.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human resources management. The skills and knowledge required for each position was documented in job descriptions which outline accountability, responsibilities and authority. These were reviewed along with employment agreements, confidentiality statements, professional boundaries guidelines, police vetting and reference checks.   Individual records of education were maintained for each staff member and were reviewed.</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in place and all new staff are required to complete this within three months of employment.  Staff performance is reviewed at the end of the orientation, goals are set and a performance appraisal is completed annually thereafter.  Orientation for staff covers the essential components of the services provided and staff are required to complete questionnaires.  Staff confirmed they have completed an orientation and confirmed their attendance at on-going in-service education and that their performance appraisals are current.</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for 2020 evidenced education is provided via online and on site. The FM is responsible for the programme. External training is also attended. The local DHB provides opportunities for RNs to attend on-going education. Staff responsible for medication management have current medication competencies and ongoing training has been provided. The finding from the previous audit is closed. Restraint competencies are current.</w:t>
            </w:r>
          </w:p>
          <w:p w:rsidR="00EB7645" w:rsidRPr="00BE00C7" w:rsidP="00BE00C7">
            <w:pPr>
              <w:pStyle w:val="OutcomeDescription"/>
              <w:spacing w:before="120" w:after="120"/>
              <w:rPr>
                <w:rFonts w:cs="Arial"/>
                <w:b w:val="0"/>
                <w:lang w:eastAsia="en-NZ"/>
              </w:rPr>
            </w:pPr>
            <w:r w:rsidRPr="00BE00C7">
              <w:rPr>
                <w:rFonts w:cs="Arial"/>
                <w:b w:val="0"/>
                <w:lang w:eastAsia="en-NZ"/>
              </w:rPr>
              <w:t>Care staff have either completed or commenced a New Zealand Qualification Authority education programme. Twelve HCAs have attended level four with one completing it. Eight have attended level three with two completing it and one has attended level two with five completing it.</w:t>
            </w:r>
          </w:p>
          <w:p w:rsidR="00EB7645" w:rsidRPr="00BE00C7" w:rsidP="00BE00C7">
            <w:pPr>
              <w:pStyle w:val="OutcomeDescription"/>
              <w:spacing w:before="120" w:after="120"/>
              <w:rPr>
                <w:rFonts w:cs="Arial"/>
                <w:b w:val="0"/>
                <w:lang w:eastAsia="en-NZ"/>
              </w:rPr>
            </w:pPr>
            <w:r w:rsidRPr="00BE00C7">
              <w:rPr>
                <w:rFonts w:cs="Arial"/>
                <w:b w:val="0"/>
                <w:lang w:eastAsia="en-NZ"/>
              </w:rPr>
              <w:t>Annual practising certificates for all health professionals who require them were current. Staff files held current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documented rationale for determining staffing levels and skill mix is in place to provide safe service delivery. The policy includes skill mix, acuity and what triggers an increase in staffing or any decrease. The FM uses an electronic acuity/rostering tool and reviews rostering daily. Rosters were reviewed and showed staffing levels are adjusted to meet the changing needs of residents, acuity levels of residents on admission and the environment. Registered nurse cover is provided seven days a week over the 24-hour period. The FM and CNL are rostered on call after hours. Of the eight RNs employed, one is new to aged care. All the rest have one to nine years of experience and the FM 30 years of experience. The FM and CNL work full time Monday to Friday. There is one RN and six HCAs on the morning shift: one RN and five HCAs on the afternoon shift and 1 RN and two HCAs on the night shift. There is at least one staff member per shift with a current first aid certificate. Cleaning and laundry staff are dedicated to the roles and cover seven days a week. Two diversional therapists are employed to implement the activities programme seven days a week. There is a casual pool of staff including RNs.</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is good staff cover available and they were able to complete the work allocated to them. They reported if someone is unable to work the team helps each other. The managers stated any shortfall can usually be filled using the casual pool or staff are offered extra hours. Residents and family members reported there were appropriate numbers of staff on duty to provide them or their relative with adequate care.  Observations during this audit confirmed adequate staff cover is provided. The ORA suites are included in the facility footprint and rostering includes these suites.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reviewed for the medicine fridge and the medication room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self-administer medications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CNL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and instructions meet standing order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reviewed by a qualified dietitian in September 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up to date food control plan certificate verifies compliance by the Masterton District Council on 14 September 2020. The plans expiry date is 31 July 2021.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 A previous continuous improvement around the presentation of moulied meals remains in place, however at the time of audit ongoing analysis of its effectiveness had not been ongoing. One family member when interviewed did however comment on how appealing to the eye the moulied meals were.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care plans reviewed reflected the support needs of residents, the outcomes of the integrated assessment process and other relevant clinical information. The needs identified by the interRAI assessments of the residents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This finding addresses a previously required corrective action where it was found not all care plans reflected fully the required support the resident needed to achieve the desired outcomes.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of Glenwood Masonic Hospital (Glenwood) was consistent with their needs, goals, and the plan of care. The attention to meeting a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Families and residents reported requests for assistance are responded to promptly and staff are always willing and go out of their way to help.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three diversional therapists seven days a week. A previous continuous improvement around the implementation of an activities programme seven days a week remains ongoing.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three/six monthly care plan reviews.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included ‘move and groove’, a resident-initiated budgie breeding programme, visiting entertainers, quiz sessions and daily news updates. The activities programme is discussed at the minuted residents’ meetings and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and the Clinical Nurse Lead (CNL).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Short term care plans are consistently reviewed for infections, pain, and weight loss. Progress is evaluated as clinically indicated and according to the degree of risk noted during the assessment process.  Wound management plans are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displayed at the main entrance that expires on the 27 July 2021. </w:t>
            </w:r>
          </w:p>
          <w:p w:rsidR="00EB7645" w:rsidRPr="00BE00C7" w:rsidP="00BE00C7">
            <w:pPr>
              <w:pStyle w:val="OutcomeDescription"/>
              <w:spacing w:before="120" w:after="120"/>
              <w:rPr>
                <w:rFonts w:cs="Arial"/>
                <w:b w:val="0"/>
                <w:lang w:eastAsia="en-NZ"/>
              </w:rPr>
            </w:pPr>
            <w:r w:rsidRPr="00BE00C7">
              <w:rPr>
                <w:rFonts w:cs="Arial"/>
                <w:b w:val="0"/>
                <w:lang w:eastAsia="en-NZ"/>
              </w:rPr>
              <w:t>Structural alterations have been completed in unit 1 involving an existing double bedroom made into a single room with an ensuite and the build of a bedroom with ensuite onto the end of the existing building. These reconfigurations have been completed and the two rooms are occupied. Unit two alterations consist of a new single room built at the end of the passageway and a double suite with an ensuite for couples created out of an existing office. This reconfiguration is currently being built and mirrors unit1. Both reconfigurations mean the passageways throughout the facility will all be connected. The new bedrooms are spacious and both the bedrooms and ensuites have appropriate equipment and are fit for purpose.</w:t>
            </w:r>
          </w:p>
          <w:p w:rsidR="00EB7645" w:rsidRPr="00BE00C7" w:rsidP="00BE00C7">
            <w:pPr>
              <w:pStyle w:val="OutcomeDescription"/>
              <w:spacing w:before="120" w:after="120"/>
              <w:rPr>
                <w:rFonts w:cs="Arial"/>
                <w:b w:val="0"/>
                <w:lang w:eastAsia="en-NZ"/>
              </w:rPr>
            </w:pPr>
            <w:r w:rsidRPr="00BE00C7">
              <w:rPr>
                <w:rFonts w:cs="Arial"/>
                <w:b w:val="0"/>
                <w:lang w:eastAsia="en-NZ"/>
              </w:rPr>
              <w:t>A certificate of public use from the local authority was sighted for the alterations that expires on 1 March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washed and dried on site. Residents and families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are dedicated cleaners on site seven days a week who have received appropriate training. Staff demonstrated good knowledge of cleaning and laundry processes. The cleaners have lockable cupboards to store chemicals.  All chemicals were in appropriately labelled containers. Residents and family stated the facility is cleaned to a high standard. Observations during the audit confirmed this. Cleaning and laundry processes are monitored daily by the FM and review of cleaning and laundry audits evidenced cleaning and laundry processes are monitored for effectiveness. The audit programme includes audits for cleaning and laundry processes. The finding from the previous audit is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evacuation plan was approved by the New Zealand Fire Service on the 12 August 2010.  A statement of completion for fire protection systems provided by the company registered by the local authority was sighted for the alterations. A new application was lodged in September 2020 with the NZ Fire Service. The NZ Fire Service has advised once the alterations to unit 2 have been completed an inspection will be undertaken with a view to approving the new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evacuation policy on emergency and security situations is in place.  A fire drill takes place six-monthly with a copy sent to the New Zealand Fire Service.  The orientation programme includes fire and security training.  Staff confirmed their awareness of emergency procedures. All required fire equipment was sighted, and all equipment had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is in place.  There are adequate supplies in the event of a civil defence emergency including food, water, blankets, cell phones and gas BBQ’s.  </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to alert staff.  Call system audits are completed on a regular basis and residents and families reported staff responded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The external doors are secured in the evenings. An after-hours bell is available for visitors to gain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Glenwood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(ICC) and CNL review all reported infections. Monthly surveillance data is collated and analysed to identify any trends, possible causative factors and required actions. Results of the surveillance programme are shared with staff via quality, RN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A recent Norovirus outbreak in May 2020, saw 21 residents and 10 staff develop symptoms over 11 days. Good documentation of the outbreak has been kept. It was reported to the Masterton District Health Board and Public Health. Public Health commended the facility, via correspondence, over their management and control of the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Restraint approval is included in the quality meetings and support and oversight for enabler and restraint management is discussed. Staff interviewed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five residents were using restraints and three residents were using enablers. Enablers are the least restrictive and used voluntarily at the resident’s request. The restraint coordinator, who is the CNL has a sound knowledge regarding restraint minimisation and safe practise. Equipment used to minimise restraint use include sensor mats, landing mats, high low beds and wedges.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7438"/>
        <w:gridCol w:w="331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previous continuous improvement around extending the activities programme at Glenwood from five to seven days a week remains in place. When one of the diversional therapists left and the formalised seven day a week programme was unable to be offered, care staff were used to offer movies and games to residents over the weekend. The availability of care staff to do this was often compromised by the demands of the residents’ daily care needs, and their lack of training in meeting residents recreational needs. Residents meeting minutes expressed dissatisfaction with the weekend programme no longer being available at the calibre previously offered. After a gap of six weeks, the programme was reintroduced with a diversional therapist employed to continue the programme at the weekend. Residents subsequent satisfaction with the programme has increased again.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at Glenwood was expanded beyond the usual Monday to Friday activities programme to provide a formalised activity programme seven days a week. The programme was also extended to later in the afternoons to accommodate the needs of residents with dementia. This has resulted in an ongoing improvement in resident satisfaction with the activities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Masonic Care Limited - Glenwood Masonic Hospital</w:t>
    </w:r>
    <w:bookmarkEnd w:id="58"/>
    <w:r>
      <w:rPr>
        <w:rFonts w:cs="Arial"/>
        <w:sz w:val="16"/>
        <w:szCs w:val="20"/>
      </w:rPr>
      <w:tab/>
      <w:t xml:space="preserve">Date of Audit: </w:t>
    </w:r>
    <w:bookmarkStart w:id="59" w:name="AuditStartDate1"/>
    <w:r>
      <w:rPr>
        <w:rFonts w:cs="Arial"/>
        <w:sz w:val="16"/>
        <w:szCs w:val="20"/>
      </w:rPr>
      <w:t>29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