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CSR Healthcare Limited - Remuera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CSR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Remuera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October 2020</w:t>
      </w:r>
      <w:bookmarkEnd w:id="7"/>
      <w:r w:rsidRPr="009418D4">
        <w:rPr>
          <w:rFonts w:cs="Arial"/>
        </w:rPr>
        <w:tab/>
        <w:t xml:space="preserve">End date: </w:t>
      </w:r>
      <w:bookmarkStart w:id="8" w:name="AuditEndDate"/>
      <w:r w:rsidR="00A4268A">
        <w:rPr>
          <w:rFonts w:cs="Arial"/>
        </w:rPr>
        <w:t>21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Remuera Rest Home and Hospital provides rest home and hospital (geriatric and medical) levels of care for up to 35 residents.  On the day of the audit there were 33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facility manager is a registered nurse.  He is appropriately qualified and experienced and is supported by a team of experienced staff.  Feedback from residents and families was very positive about the care and services provided.  </w:t>
      </w:r>
    </w:p>
    <w:p w:rsidRPr="00A4268A">
      <w:pPr>
        <w:spacing w:before="240" w:line="276" w:lineRule="auto"/>
        <w:rPr>
          <w:rFonts w:eastAsia="Calibri"/>
        </w:rPr>
      </w:pPr>
      <w:r w:rsidRPr="00A4268A">
        <w:rPr>
          <w:rFonts w:eastAsia="Calibri"/>
        </w:rPr>
        <w:t xml:space="preserve">This certification audit identified that improvements are required in relation to the business plan and corrective actions.  The service has achieved a continuous improvement around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Cultural values and beliefs are understood and respected.  Care planning accommodates individual choices of residents and/or their family/whānau.  Informed consent processes are adhered to.  Residents are encouraged to maintain links with their community.  </w:t>
      </w:r>
    </w:p>
    <w:p w:rsidRPr="00A4268A">
      <w:pPr>
        <w:spacing w:before="240" w:line="276" w:lineRule="auto"/>
        <w:rPr>
          <w:rFonts w:eastAsia="Calibri"/>
        </w:rPr>
      </w:pPr>
      <w:r w:rsidRPr="00A4268A">
        <w:rPr>
          <w:rFonts w:eastAsia="Calibri"/>
        </w:rPr>
        <w:t xml:space="preserve">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Quality and risk management processes are established.  Business goals are documented for the service.  The risk management programme includes a risk management plan, incident and accident reporting, and health and safety processes.  Quality systems include regular monitoring of quality and risk data and an internal auditing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 facility manager is a registered nurse (RN) who is on site five days a week and is on call when not on site.  He is supported by a team of RNs, including two designated clinical leaders.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 xml:space="preserve">Registered nurses and medication competent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recreation officer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All but one of the residents’ rooms are single occupancy.  Twenty-two rooms have ensuites, one room has a toilet and hand basin and the rest have hand basins only.  There are adequate numbers of toilets and showers.</w:t>
      </w:r>
    </w:p>
    <w:p w:rsidRPr="00A4268A">
      <w:pPr>
        <w:spacing w:before="240" w:line="276" w:lineRule="auto"/>
        <w:rPr>
          <w:rFonts w:eastAsia="Calibri"/>
        </w:rPr>
      </w:pPr>
      <w:r w:rsidRPr="00A4268A">
        <w:rPr>
          <w:rFonts w:eastAsia="Calibri"/>
        </w:rPr>
        <w:t xml:space="preserve">External areas are safe and well maintained with shade and seating available.  Fixtures, fittings and flooring are appropriate and toilet/shower facilities are constructed for ease of cleaning.  Cleaning and laundry services are monitored through the internal auditing system. </w:t>
      </w:r>
    </w:p>
    <w:p w:rsidRPr="00A4268A">
      <w:pPr>
        <w:spacing w:before="240" w:line="276" w:lineRule="auto"/>
        <w:rPr>
          <w:rFonts w:eastAsia="Calibri"/>
        </w:rPr>
      </w:pPr>
      <w:r w:rsidRPr="00A4268A">
        <w:rPr>
          <w:rFonts w:eastAsia="Calibri"/>
        </w:rPr>
        <w:t>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Seven residents were using a restraint at the time of the audit and two residents were using an enabler.  The facility also has environmental restraint in place with appropriate measures undertaken to ensure it is safe and administered appropriately.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Appropriate measures are in place for Covid-19.</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5"/>
        <w:gridCol w:w="1280"/>
        <w:gridCol w:w="98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is available in the information presented to residents and their families during entry to the service.  The facility manager/registered nurse (RN) and ten staff interviewed (three RNs including two clinical leaders, four healthcare assistants (HCAs), one cook, one cleaner, one recreational officer) could describe how the Code is incorporated into their job role and responsibilities.  Staff receive training on the Code during their induction to the service.  This training continues via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in all six resident files reviewed: two rest home (one YPD, one long term support-chronic health condition (LTS-CHC); and four hospital including one YPD and one LTS-CHC.  Discussions with staff confirmed that they are familiar with the requirements to obtain informed consent for entering rooms and personal cares.  Advanced directive and enduring power of attorney (EPOA) evidence is filed in the residents’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HDC advocacy details are included in the information provided to new residents and their family/whānau during their entry to the service.  Residents and family interviewed were aware of the role of advocacy services and their right to access support.  Staff receive regular education and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established with local community groups.  Residents who are able are supported to come and go from the facility as they please.  They regularly visit the local cafes and shops and attend community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are located at the entrance to the facility.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 record of complaints received is maintained by the facility manager.  Three complaints have been lodged in 2020 (year-to-date) and were reviewed.  Complaints are being managed in accordance with HDC guidelines.  One anonymous complaint was lodged with the DHB in May 2020.  An action plan was developed, which addressed details relating to this complaint.  Staff were kept informed, evidenced in the staff meeting minutes.  This complaint has been signed off by the DHB as resolved (30 September 2020).  The other two complaints reviewed were also signed off as resolved.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families/whānau confirmed that they were provided with information on the complaints process and remarked that any concerns or issues they had, were addressed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facility manager or clinical leader discuss aspects of the Code with residents and their family on admission.  Discussions relating to the Code are also held during the three-monthly residents’ meetings.  Interviews with six residents (four hospital including two young persons with a disability [YPD] and two rest home including one YPD) and four family (one rest home, three hospital including one YPD)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The HCAs interviewed (including those who work both the AM and PM shifts) reported that they knock on bedroom doors prior to entering rooms, ensure doors are shut when cares are being given and do not hold personal discussions in public areas.  One resident who is unable to speak has a sign on their door to please knock before entering.</w:t>
            </w:r>
          </w:p>
          <w:p w:rsidR="00EB7645" w:rsidRPr="00BE00C7" w:rsidP="00BE00C7">
            <w:pPr>
              <w:pStyle w:val="OutcomeDescription"/>
              <w:spacing w:before="120" w:after="120"/>
              <w:rPr>
                <w:rFonts w:cs="Arial"/>
                <w:b w:val="0"/>
                <w:lang w:eastAsia="en-NZ"/>
              </w:rPr>
            </w:pPr>
            <w:r w:rsidRPr="00BE00C7">
              <w:rPr>
                <w:rFonts w:cs="Arial"/>
                <w:b w:val="0"/>
                <w:lang w:eastAsia="en-NZ"/>
              </w:rPr>
              <w:t>HCAs reported that they promote the residents' independence by encouraging them to be as active as possible.  Residents and families interviewed and observations during the audit confirmed that the residents’ privacy is respected.  Shared toilets include appropriate door locking mechanisms.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regular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Links are established with a kaumātua from the Greenlane Clinical Centre.  Rooms are blessed following the death of a resident.  The care staff interviewed reported that they value and encourage active participation and input from the family/whānau in the day-to-day care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Māori health plan is in place for residents who identify as Māori.  Cultural considerations and interventions are identified around the domains of resident cares, communication, restraint, challenging behaviours, food, and spirituality.  There were no Māori residents living at the facility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cultural awareness begins during the new employee’s induction to the service and continues as an annual training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desires from the time of admission.  A cultural needs assessment is completed as part of the admission process.  This is achieved in collaboration with the resident, whānau/family and/or their representative.  The staff demonstrated through interviews and observations that they are committed to ensuring each resident remains a person, even in a state of decline.  </w:t>
            </w:r>
          </w:p>
          <w:p w:rsidR="00EB7645" w:rsidRPr="00BE00C7" w:rsidP="00BE00C7">
            <w:pPr>
              <w:pStyle w:val="OutcomeDescription"/>
              <w:spacing w:before="120" w:after="120"/>
              <w:rPr>
                <w:rFonts w:cs="Arial"/>
                <w:b w:val="0"/>
                <w:lang w:eastAsia="en-NZ"/>
              </w:rPr>
            </w:pPr>
            <w:r w:rsidRPr="00BE00C7">
              <w:rPr>
                <w:rFonts w:cs="Arial"/>
                <w:b w:val="0"/>
                <w:lang w:eastAsia="en-NZ"/>
              </w:rPr>
              <w:t>Beliefs and values are incorporated into the residents’ care plans, evidenced in all six care plans reviewed.  Residents and family/whānau interviewed confirmed they were involved in developing the resident’s plan of care, which included the identification of individual values and beliefs.  One family interviewed was related to a resident who was unable to speak English.  Phone translation applications are used to assist with translation when the family member is unavailable.  The care staff reported that they are also able to communicate with the resident using non-verbal communication.  The family member reported that the resident is very happy with the services being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HCAs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who is on site five days a week and is supported by a team of RNs, including two clinical leaders.  Residents are reviewed by a general practitioner (GP) every three months at a minimum.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three-monthly.  Residents and family/whānau interviewed reported that they are satisfied or very satisfied with the services received.  This was also confirmed in the April 2020 resident/family satisfaction survey whereby 97.83% of residents and families (sample of 23) were very satisfied with the services received.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(DHB).  Physiotherapy services are provided as needed.  A van is available for regular outings.  A podiatrist visits the facility every six weeks.  Mental health services through the DHB are available on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allows for close relationships between the staff and residents.  A recreational officer is on site five days a week which is an increase of one day compared to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at all times.  The care staff interviewed understood about open disclosure and providing appropriate information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are kept informed of the resident’s status, including any events adversely affecting the resident.  Fifteen accident/incident forms reviewed reflected documented evidence of families being informed following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There were two residents at the facility who were unable to speak or understand English.  Families and staff are utilised in the first instance.  Phone translation applications have also proved to be successful.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Remuera Rest Home and Hospital provides rest home and hospital levels of care for up to 35 residents.  Fifteen rooms are designated for rest home level of care and twenty rooms are designated as dual-purpose (hospital/rest home).  On the day of the audit there were 33 residents (14 rest home and 19 hospital).  This included six residents on the LTS-CHC contract (two rest home and four hospital), and four residents on a YPD contract (two rest home and two hospital).  The remaining residents were on the aged residential care services agreement contract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philosophy, mission, vision and values are in place.  The business plan (2019 – 2020) is established with six key result areas identified (finance, operations, facilities, business development, quality improvement, personnel development).  There was a lack of evidence to indicate that the business plan (and quality/risk plans)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RN who has been in his role for six years and has eleven years of management experience in the aged care sector.  He maintains a minimum of eight hours of professional development per year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delegation of authority policy is being implemented.  There are two clinical leaders/RNs who are responsible for clinical operations in the absence of the facility manager.  The owner would assume administrative responsibilities in the absence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established (link 1.2.1.1).  Policies and procedures align with current good practice.  Policies have been reviewed, modified (where appropriate) and implemented.  Reviews take place a minimum of two yearly or when changes occur (if sooner).  A document review schedule is in place.  New policies are discussed with staff as a regular agenda item in staff meeting minutes.  Staff are asked to sign that they have read new/revised policies.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collection and complaints management.  Data is collected for a range of adverse event data (eg, skin tears, falls [witnessed and unwitnessed], infections, challenging behaviours) and is collated and analysed.  An internal audit programme is being implemented.  A selection of corrective actions developed for areas identified for improvements were not monitored to indicate that these corrective actions were resolved.  Staff are informed of quality results via staff meetings, handovers and daily discussions.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the health and safety officer.  He is supported by a health and safety committee.  Staff health and safety training begins during their induction to the service and includes a self-learning/competency package.  Health and safety is a regular topic covered in the staff meetings.  Actual and potential risks are documented on a hazard register, which identifies risk ratings and documents actions to eliminate or minimise each risk.  New contractors are orientated to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the development of specific falls management plans to meet the needs of each resident who is at risk of falling.  This includes (but is not limited to) sensor mats, intentional rounding and challenging behaviour plans.  Falls have reduced over the past year with one resident identified as a frequent faller.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service’s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(seven unwitnessed falls, five witnessed falls, one challenging behaviour, two skin tears with bruising).  Each event involving a resident reflected a clinical assessment and follow-up by an RN.  Neurologic observations are conducted for suspected head injuries and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statutory responsibilities in regard to essential notification with examples provided of notification reports completed since the previous audit (eg, pressure injuries grade three or higher, one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Six staff files reviewed (three HCAs, two staff RNs, one clinical leader/RN) included evidence of the recruitment and induction process, including reference checking, signed employment contracts, job descriptions and completed orientation programmes.  The orientation programme provides new staff with relevant information for safe work practice that is specific to the position.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An education and training programme is provided for staff that meets contractual obligations.  In-service training is linked to staff meetings with attendance consistently above 80%.  Competencies are completed specific to worker type and include (but are not limited to) health and safety, medication, manual handling, food handling, restraint minimisation.  A register of current practising certificates for health professionals is maintained.  Three out of six RNs have completed their interRAI training.  A first aid trained staff member is always available 24/7, including on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The facility manager is on site five days a week and is on-call when not available on site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clinical leaders/RNs.  One clinical leader is on site Monday – Friday (AM shift) and the second clinical leader is on site Monday – Wednesday (AM shift) which includes during doctor rounds.  Staffing is flexible to meet the acuity and needs of the residents.  The AM shift is staffed with two staff RNs, the PM has one RN and the night shift has one RN.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HCAs available with staff extending their hours where needed.  Three HCAs are rostered on the AM shift, seven days a week (three long shifts and one short shift) and three HCAs are rostered during the PM shift (two long shift and one short shift).  Two HCAs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agency staff is being used, although during the Covid-19 lockdown agency staffing was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recreational officer is rostered five days a week for six hours a day.  HCAs are responsible for laundry duties.  A separate cleaner is employed five days a week for six hours a day.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are legible, dated, timed and signed by the relevant HCA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paper-based and blister pack system.  Medications are checked on arrival and any pharmacy errors recorded and fed back to the supplying pharmacy.  RNs administer all medications to hospital residents.  Medication competent HCAs can administer medications to rest home residents.  Staff attend annual education and have an annual medication competency completed.  All RNs are syringe driver trained by the hospice.  The medication room and fridge temperatures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medication signing form.  Twelve medication charts were reviewed (eight hospital and four rest home).  Medications are reviewed at least three-monthly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one cook who covers Monday to Sunday and one weekend cook.  Both cooks have current food safety certificates.  The head cook oversees the procurement of the food and management of the kitchen.  There is a well-equipped kitchen and all meals are cooked on site.  Meals are served directly from the kitchen.  Meals going to residents’ rooms on trays have plate covers to keep the food warm.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are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likes/dislikes were noted.  The four weekly menu cycle is approved by a dietitian.  The residents choose from two options.  All resident/families interviewed were satisfied with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is valid until November 2020.  The facility has just been re-audited, and the food control plan was re-validated but the certificate has not yet arrived.  </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residents are provided according to nutritional guidelines.  Referrals are made to a dietitian as required.  Annual food satisfaction surveys are completed.  Residents may discuss any dietary problems with the cook and at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Since 2017 there has been a steady rise in food satisfaction (2017- 89.9%, 2018 - 91%, 2019 - 95%).  The latest food satisfaction survey in 2020 showed an increase to 99.56%.  Residents stated that they would like more choice so at the main meal they now have a choice of two options.  All residents/families interviewed were satisfied with the meals and stated that the choice of two options at the main meal has made a difference.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were not limited to) nutrition, continence, pain, falls risk and pressure injury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are documented to support needs and provide detail to guide care.  The facility has some residents with complex needs and the care plans reflected this.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wound care nurse and mental health care team for older people.  All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and families interviewed confirmed this.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taken when there an unwitnessed fall or residents hit their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reviewed their wound management policies and procedures.  Wound assessment, wound management and wound evaluation forms are in place for all wounds.  Wound monitoring occurs as planned.  There are currently three wounds being treated – one chronic ulcer and two minor skin tears.  The number of wounds has been reducing over the past year.  Advice is sought from the wound care nurse specialist as required.  There are currently no pressure injuries.  Pressure relieving equipment is in use.  All residents have a pressure injury risk assessment on admission, six monthly thereafter or as required.  There has been education for all staff on wound management and pressure injury prevention.</w:t>
            </w:r>
          </w:p>
          <w:p w:rsidR="00EB7645" w:rsidRPr="00BE00C7" w:rsidP="00BE00C7">
            <w:pPr>
              <w:pStyle w:val="OutcomeDescription"/>
              <w:spacing w:before="120" w:after="120"/>
              <w:rPr>
                <w:rFonts w:cs="Arial"/>
                <w:b w:val="0"/>
                <w:lang w:eastAsia="en-NZ"/>
              </w:rPr>
            </w:pPr>
            <w:r w:rsidRPr="00BE00C7">
              <w:rPr>
                <w:rFonts w:cs="Arial"/>
                <w:b w:val="0"/>
                <w:lang w:eastAsia="en-NZ"/>
              </w:rPr>
              <w:t>Staff have also completed education around managing challenging behaviour.  Care plans have clear guidelines and strategies for any residents exhibiting challenging behaviours.  Behaviour monitoring charts are available and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recreation officer who works six hours Monday to Friday.  On the days of audit residents were observed listening to a newspaper reading, playing bingo, playing balloon tennis, coming back from Communicare and going for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the noticeboard in the main lounge and each resident is given a copy of the weekly programme to keep in their room.   Residents have the choice of a variety of activities in which to participate, and every effort is made to ensure activities are meaningful and tailored to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Roman Catholic communion every Monday and some residents go out to church at the weekend.   </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weekly.  One of the outings is to go shopping and the other is to the library.  When the weather is good, they also have trips to the park and beach.  The van driver has a first aid certificate.  Special events like birthdays, Easter, Mothers’ Day, Anzac Day and the Melbourne Cup are celebrated.  There is entertainment fortnightly.</w:t>
            </w:r>
          </w:p>
          <w:p w:rsidR="00EB7645" w:rsidRPr="00BE00C7" w:rsidP="00BE00C7">
            <w:pPr>
              <w:pStyle w:val="OutcomeDescription"/>
              <w:spacing w:before="120" w:after="120"/>
              <w:rPr>
                <w:rFonts w:cs="Arial"/>
                <w:b w:val="0"/>
                <w:lang w:eastAsia="en-NZ"/>
              </w:rPr>
            </w:pPr>
            <w:r w:rsidRPr="00BE00C7">
              <w:rPr>
                <w:rFonts w:cs="Arial"/>
                <w:b w:val="0"/>
                <w:lang w:eastAsia="en-NZ"/>
              </w:rPr>
              <w:t>One resident has her own dog and there is monthly pet therapy (postponed over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the local preschools and choirs.  Residents go out shopping, to the library, to Communicare and one to the Blind Foundation. </w:t>
            </w:r>
          </w:p>
          <w:p w:rsidR="00EB7645" w:rsidRPr="00BE00C7" w:rsidP="00BE00C7">
            <w:pPr>
              <w:pStyle w:val="OutcomeDescription"/>
              <w:spacing w:before="120" w:after="120"/>
              <w:rPr>
                <w:rFonts w:cs="Arial"/>
                <w:b w:val="0"/>
                <w:lang w:eastAsia="en-NZ"/>
              </w:rPr>
            </w:pPr>
            <w:r w:rsidRPr="00BE00C7">
              <w:rPr>
                <w:rFonts w:cs="Arial"/>
                <w:b w:val="0"/>
                <w:lang w:eastAsia="en-NZ"/>
              </w:rPr>
              <w:t>YPD residents who are sufficiently able go out shopping for coffees and to MacDonalds.  They are also able to access up to date DVDs.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admissions, all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mental health services for older people, the physiotherapist and the speech language therapist.  Discussions with the RN identified that the service has access to a wide range of support including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are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25 June 2021.  There is no maintenance person, but the facility manager coordinates the maintenance process.  There is a preventative and reactive maintenance schedule.  Contracted plumbers and electricians are available when required.  The cleaner works as the gardener on Saturdays.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and hallways are carpeted.  There are fourteen bedrooms carpeted but the rest have vinyl.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Twenty-two rooms have ensuites.  One room has a hand basin and toilet.  All other rooms have hand basins only.  Fixtures, fittings and flooring are appropriate.  Toilet/shower facilities are easy to clean.  There is ample space in toilet and shower areas to accommodate shower chairs and hoists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shared room and all others are single.  The shared room has privacy curtains.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lounges.  Activities occur in the larger areas and the smaller areas are spaces where residents who prefer quieter activities or visitors may sit.  The dining room is spacious.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HCAs do the laundry.  The laundry is small but adequate.  It is divided into a “dirty” and “clean” area.  There is a laundry and cleaning manual and manufacturing safety data sheets (MSDS) available.  Personal protective equipment is available.  Cleaning and laundry services are monitored through the internal auditing system.  The cleaner’s equipment was attended at all times or locked away.  All chemicals on the cleaner’s trolley were labelled.  There is a sluice room which is used for the disposal of soiled water or waste and the sluicing of soiled linen if required.  The sluice room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28 May 2020.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cooker is available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recently upgraded.  Four attenuating panels are accompanied by an alarm.  Residents were observed in their rooms with their call bell alarms in close proximity.  Call bells are checked monthly.</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available 24 hours a day, seven days a week with a current first aid/CPR certificate.  All staff are required to complete their first aid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are panel heaters in resident’s rooms and heat pumps in communal areas.  Staff and residents interviewed stated that this is effective.  There is one outdoor area where residents smoke.  All other areas are smoke free.  Residents have been offered smoking cessation programmes.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policies and procedures for infection, prevention and control which minimises any risk of infection to residents, staff and visitors.  Infection control management is appropriate to the size and scope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(IC) coordinator (a RN clinical lead) who is responsible for infection control.  The coordinator liaises with and reports to the facility manager.  The responsibility for infection control is described in the job description.  The coordinator collates monthly infection events and reports.  The infection control programme is reviewed annually by the IC coordinator and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There are ample supplies of personal protective equipment (PPE). Residents are offered the annual influenza vaccine. </w:t>
            </w:r>
          </w:p>
          <w:p w:rsidR="00EB7645" w:rsidRPr="00BE00C7" w:rsidP="00BE00C7">
            <w:pPr>
              <w:pStyle w:val="OutcomeDescription"/>
              <w:spacing w:before="120" w:after="120"/>
              <w:rPr>
                <w:rFonts w:cs="Arial"/>
                <w:b w:val="0"/>
                <w:lang w:eastAsia="en-NZ"/>
              </w:rPr>
            </w:pPr>
            <w:r w:rsidRPr="00BE00C7">
              <w:rPr>
                <w:rFonts w:cs="Arial"/>
                <w:b w:val="0"/>
                <w:lang w:eastAsia="en-NZ"/>
              </w:rPr>
              <w:t>In April 2020 there was a probable case of a staff member with Covid-19.  This was ably managed by the facility with the assistance of the DHB.  The staff member tested negative.</w:t>
            </w:r>
          </w:p>
          <w:p w:rsidR="00EB7645" w:rsidRPr="00BE00C7" w:rsidP="00BE00C7">
            <w:pPr>
              <w:pStyle w:val="OutcomeDescription"/>
              <w:spacing w:before="120" w:after="120"/>
              <w:rPr>
                <w:rFonts w:cs="Arial"/>
                <w:b w:val="0"/>
                <w:lang w:eastAsia="en-NZ"/>
              </w:rPr>
            </w:pPr>
            <w:r w:rsidRPr="00BE00C7">
              <w:rPr>
                <w:rFonts w:cs="Arial"/>
                <w:b w:val="0"/>
                <w:lang w:eastAsia="en-NZ"/>
              </w:rPr>
              <w:t>Due to Covid-19 all visitors to the facility sign in and have their temperatures checked.  During lockdown residents were able to keep in contact with friends/family by zoom.  At the outbreak of Covid-19, the facility manager put together a folder with a snapshot of each resident in case residents had to be nursed by staff from agencies or other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an experienced RN.  She has access to infection control expertise within the DHB,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with particular emphasis on hand hygiene and donning and doffing of PPE due to Covid-19.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facility manager and at staff meetings. Meeting minutes are available to staff.  Trends are identified and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Seven (hospital level) residents were using a restraint (bedrails, one lap belt) and two (hospital level) residents were using an enabler (bedrails).  The facility has environmental restraint in place, which affects 21 residents.  The entrance door is kept locked with the code to exit placed in a visible location.  Written consent has been obtained for those (21) residents who are unable to freely exit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which includes testing their competency.  The healthcare assistants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is in place.  Restraint minimisation policies and procedures describe approved restraints including environmental restraint.  An RN is the designated restraint coordinator.  She is knowledgeable regarding this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assessing a resident’s need for restraint.  Restraint assessments are based on information in the resident’s care plan, discussions with the resident and family and observations by staff.  A restraint assessment tool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Two residents’ files where restraint was being used were reviewed.  Each residents’ file included a restraint assessment, which included the identification of any risks associated with the use of the restraint.  Restraint use was linked to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Four files were sighted for residents that are environmentally restrained, which included identification of the risks of the environmental restraint within the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The register identifies any residents using a restraint or enabler, and the type of restraint used (including environmental restraint).  The restraint assessment reviewed identified that restraint is being used only as a last resort.  </w:t>
            </w:r>
          </w:p>
          <w:p w:rsidR="00EB7645" w:rsidRPr="00BE00C7" w:rsidP="00BE00C7">
            <w:pPr>
              <w:pStyle w:val="OutcomeDescription"/>
              <w:spacing w:before="120" w:after="120"/>
              <w:rPr>
                <w:rFonts w:cs="Arial"/>
                <w:b w:val="0"/>
                <w:lang w:eastAsia="en-NZ"/>
              </w:rPr>
            </w:pPr>
            <w:r w:rsidRPr="00BE00C7">
              <w:rPr>
                <w:rFonts w:cs="Arial"/>
                <w:b w:val="0"/>
                <w:lang w:eastAsia="en-NZ"/>
              </w:rPr>
              <w:t>The frequency of monitoring residents while on restraint (other than environmental restraint where this is not indicated), is documented.  Monitoring forms are completed when the restraint is put on and when it is taken off.  There have been no adverse events reported as a result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six-monthly by the restraint coordinator, meeting requirements of the standard.  Restraint use is discussed in the relevant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as evidenced in the document control for restraint policies and procedures, in the meeting minutes and in discussions with the facility manager and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3"/>
        <w:gridCol w:w="1280"/>
        <w:gridCol w:w="2911"/>
        <w:gridCol w:w="5232"/>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comprehensive business plan is in place but is not regularly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and quality/risk plans are updated on an annual basis but are not reviewed regularly throughout the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business plan and quality/risk plans are regularly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documented for areas identified for improvements but are not consistently evaluated to indicate if the corrective action had been effective.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corrective actions arising from the 2020 internal audit programme (continence promotion and management, medication administration, resident satisfaction) failed to reflect either monitoring or evaluation of the corrective action, or evidence that the corrective action had been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actions are evaluated with documented evidence of resolution.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01"/>
        <w:gridCol w:w="1280"/>
        <w:gridCol w:w="2276"/>
        <w:gridCol w:w="58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implemented a project around reducing wounds.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had been concerned at the high number of wound/skin conditions for the size of their facility – 53 in 2019.  After discussion the following was initiated.</w:t>
            </w:r>
          </w:p>
          <w:p w:rsidR="00EB7645" w:rsidRPr="00BE00C7" w:rsidP="00BE00C7">
            <w:pPr>
              <w:pStyle w:val="OutcomeDescription"/>
              <w:spacing w:before="120" w:after="120"/>
              <w:rPr>
                <w:rFonts w:cs="Arial"/>
                <w:b w:val="0"/>
                <w:lang w:eastAsia="en-NZ"/>
              </w:rPr>
            </w:pPr>
            <w:r w:rsidRPr="00BE00C7">
              <w:rPr>
                <w:rFonts w:cs="Arial"/>
                <w:b w:val="0"/>
                <w:lang w:eastAsia="en-NZ"/>
              </w:rPr>
              <w:t>1. Improvement of staff knowledge and skills with particular emphasis on prompt reporting and the utilisation of appropriate dressings;</w:t>
            </w:r>
          </w:p>
          <w:p w:rsidR="00EB7645" w:rsidRPr="00BE00C7" w:rsidP="00BE00C7">
            <w:pPr>
              <w:pStyle w:val="OutcomeDescription"/>
              <w:spacing w:before="120" w:after="120"/>
              <w:rPr>
                <w:rFonts w:cs="Arial"/>
                <w:b w:val="0"/>
                <w:lang w:eastAsia="en-NZ"/>
              </w:rPr>
            </w:pPr>
            <w:r w:rsidRPr="00BE00C7">
              <w:rPr>
                <w:rFonts w:cs="Arial"/>
                <w:b w:val="0"/>
                <w:lang w:eastAsia="en-NZ"/>
              </w:rPr>
              <w:t>2. Liaison with a wound care specialist to ensure that staff are provided with clinical support and guidance;</w:t>
            </w:r>
          </w:p>
          <w:p w:rsidR="00EB7645" w:rsidRPr="00BE00C7" w:rsidP="00BE00C7">
            <w:pPr>
              <w:pStyle w:val="OutcomeDescription"/>
              <w:spacing w:before="120" w:after="120"/>
              <w:rPr>
                <w:rFonts w:cs="Arial"/>
                <w:b w:val="0"/>
                <w:lang w:eastAsia="en-NZ"/>
              </w:rPr>
            </w:pPr>
            <w:r w:rsidRPr="00BE00C7">
              <w:rPr>
                <w:rFonts w:cs="Arial"/>
                <w:b w:val="0"/>
                <w:lang w:eastAsia="en-NZ"/>
              </w:rPr>
              <w:t>3. Monitoring the resident’s dietary needs and providing supplements/extra protein.  Referrals made to the dietitian as required;</w:t>
            </w:r>
          </w:p>
          <w:p w:rsidR="00EB7645" w:rsidRPr="00BE00C7" w:rsidP="00BE00C7">
            <w:pPr>
              <w:pStyle w:val="OutcomeDescription"/>
              <w:spacing w:before="120" w:after="120"/>
              <w:rPr>
                <w:rFonts w:cs="Arial"/>
                <w:b w:val="0"/>
                <w:lang w:eastAsia="en-NZ"/>
              </w:rPr>
            </w:pPr>
            <w:r w:rsidRPr="00BE00C7">
              <w:rPr>
                <w:rFonts w:cs="Arial"/>
                <w:b w:val="0"/>
                <w:lang w:eastAsia="en-NZ"/>
              </w:rPr>
              <w:t>4. Monitoring the residents fluid intake;</w:t>
            </w:r>
          </w:p>
          <w:p w:rsidR="00EB7645" w:rsidRPr="00BE00C7" w:rsidP="00BE00C7">
            <w:pPr>
              <w:pStyle w:val="OutcomeDescription"/>
              <w:spacing w:before="120" w:after="120"/>
              <w:rPr>
                <w:rFonts w:cs="Arial"/>
                <w:b w:val="0"/>
                <w:lang w:eastAsia="en-NZ"/>
              </w:rPr>
            </w:pPr>
            <w:r w:rsidRPr="00BE00C7">
              <w:rPr>
                <w:rFonts w:cs="Arial"/>
                <w:b w:val="0"/>
                <w:lang w:eastAsia="en-NZ"/>
              </w:rPr>
              <w:t>5. Ensuring there are adequate supplies of PPE and dressings;</w:t>
            </w:r>
          </w:p>
          <w:p w:rsidR="00EB7645" w:rsidRPr="00BE00C7" w:rsidP="00BE00C7">
            <w:pPr>
              <w:pStyle w:val="OutcomeDescription"/>
              <w:spacing w:before="120" w:after="120"/>
              <w:rPr>
                <w:rFonts w:cs="Arial"/>
                <w:b w:val="0"/>
                <w:lang w:eastAsia="en-NZ"/>
              </w:rPr>
            </w:pPr>
            <w:r w:rsidRPr="00BE00C7">
              <w:rPr>
                <w:rFonts w:cs="Arial"/>
                <w:b w:val="0"/>
                <w:lang w:eastAsia="en-NZ"/>
              </w:rPr>
              <w:t>6. Education for HCAs around the importance of drying skin folds well;</w:t>
            </w:r>
          </w:p>
          <w:p w:rsidR="00EB7645" w:rsidRPr="00BE00C7" w:rsidP="00BE00C7">
            <w:pPr>
              <w:pStyle w:val="OutcomeDescription"/>
              <w:spacing w:before="120" w:after="120"/>
              <w:rPr>
                <w:rFonts w:cs="Arial"/>
                <w:b w:val="0"/>
                <w:lang w:eastAsia="en-NZ"/>
              </w:rPr>
            </w:pPr>
            <w:r w:rsidRPr="00BE00C7">
              <w:rPr>
                <w:rFonts w:cs="Arial"/>
                <w:b w:val="0"/>
                <w:lang w:eastAsia="en-NZ"/>
              </w:rPr>
              <w:t>In 2020 wound/skin conditions totalled 23.  This is a reduction of 30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CSR Healthcare Limited - Remuera Rest Home and Hospital</w:t>
    </w:r>
    <w:bookmarkEnd w:id="58"/>
    <w:r>
      <w:rPr>
        <w:rFonts w:cs="Arial"/>
        <w:sz w:val="16"/>
        <w:szCs w:val="20"/>
      </w:rPr>
      <w:tab/>
      <w:t xml:space="preserve">Date of Audit: </w:t>
    </w:r>
    <w:bookmarkStart w:id="59" w:name="AuditStartDate1"/>
    <w:r>
      <w:rPr>
        <w:rFonts w:cs="Arial"/>
        <w:sz w:val="16"/>
        <w:szCs w:val="20"/>
      </w:rPr>
      <w:t>20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