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Bruce McLaren Retirement Village Limited - Bruce McLaren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Bruce McLaren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Bruce McLaren Retirement Village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October 2020</w:t>
      </w:r>
      <w:bookmarkEnd w:id="7"/>
      <w:r w:rsidRPr="009418D4">
        <w:rPr>
          <w:rFonts w:cs="Arial"/>
        </w:rPr>
        <w:tab/>
        <w:t xml:space="preserve">End date: </w:t>
      </w:r>
      <w:bookmarkStart w:id="8" w:name="AuditEndDate"/>
      <w:r w:rsidR="00A4268A">
        <w:rPr>
          <w:rFonts w:cs="Arial"/>
        </w:rPr>
        <w:t>6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Bruce McLaren is part of the Ryman Group of retirement villages and aged care facilities.  They provide hospital ( medical and geriatric), rest home and dementia level care for up to 122 residents in the care facility and rest home level care for up to 20 serviced apartments.  On the days of the audit, there were 123 residents, including one resident receiving rest home level of care in serviced apartments.  </w:t>
      </w:r>
    </w:p>
    <w:p w:rsidRPr="00A4268A">
      <w:pPr>
        <w:spacing w:before="240" w:line="276" w:lineRule="auto"/>
        <w:rPr>
          <w:rFonts w:eastAsia="Calibri"/>
        </w:rPr>
      </w:pPr>
      <w:r w:rsidRPr="00A4268A">
        <w:rPr>
          <w:rFonts w:eastAsia="Calibri"/>
        </w:rPr>
        <w:t>The service is managed by a village manager who is supported by an assistant village manager and a clinical manager.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This surveillance audit identified improvements required around completion of neurological observations; completion of interRAI assessments; and documentation of corrective action plans as part of the quality improvement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r w:rsidRPr="00A4268A">
        <w:rPr>
          <w:rFonts w:eastAsia="Calibri"/>
        </w:rPr>
        <w:t xml:space="preserve">Information about services provided is readily available to residents and families.  Residents and family reported that communication with management and staff is open and transparent.  They also stated that they understand how to make a complaint.  Complaints and concerns have been managed in a timely manner as per policy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to meet the needs of the residents.  A village manager, assistant to the manager and clinical manager are responsible for the day-to-day operations.  Village goals are documented for the service with evidence of regular reviews.  Key components of the quality and risk management programme are documented and include management of complaints, an internal audit schedule, completion of satisfaction surveys, analysis of incidents and accidents, and an implemented health and safety programme.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as per documented policies.  A comprehensive orientation programme is in place for new staff.  Ongoing education and training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Rosters and interviews with staff, residents and family indicated that there are sufficient staff that are appropriately skilled,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information/welcome pack that includes information on each level of care.  Registered nurses are responsible for initial assessments, risk assessments, interRAI assessments, and development of care plans in consultation with the resident/relatives.  Care plans demonstrate service integration, are individualised, and evaluated six-monthly.  The general practitioner reviews residents on admission and at least three-monthly.    </w:t>
      </w:r>
    </w:p>
    <w:p w:rsidRPr="00A4268A" w:rsidP="00621629">
      <w:pPr>
        <w:spacing w:before="240" w:line="276" w:lineRule="auto"/>
        <w:rPr>
          <w:rFonts w:eastAsia="Calibri"/>
        </w:rPr>
      </w:pPr>
      <w:r w:rsidRPr="00A4268A">
        <w:rPr>
          <w:rFonts w:eastAsia="Calibri"/>
        </w:rPr>
        <w:t xml:space="preserve">The activity team implement the Engage activity programme in the rest home/hospital wings and dementia unit that ensures the abilities and recreational needs of the residents is varied and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 site.  The ‘project delicious’ menu is designed by a dietitian at organisational level and provides meal options including gluten free and vegetarian.  Individual and special dietary needs are catered for.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building warrant of fitness.  There is a preventative and planned maintenance schedule in place.  Chemicals are stored safely throughout the facility.  The bedrooms, hallways and communal areas are spacious and accessible.  The outdoor areas are safe and easily accessible.  The environment is warm and comfortable.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no residents assessed as requiring either the use of restraint or the use of an enabler.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Information obtained through surveillance is used to determine infection control activities, resources and education needs within the facility.  This includes audits of the facility, hand hygiene and surveillance of infection control events and infections.  The service engages in benchmarking with other Ryman facilities.  There has been one outbreak.  All Ryman Covid-19 precautions have been fully implemented.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1"/>
        <w:gridCol w:w="1280"/>
        <w:gridCol w:w="102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and on each level in the foyers of the care centre.  Residents in the serviced apartments are able to get complaints forms from reception or from any of the levels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confirmed their understanding of the complaints process.  Complainants are provided with information on how to escalate their complaint if resolution is not to their satisfaction.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in place.  Six complaints have been lodged for 2020 (four from residents including two from residents or family in the rest home and two in the hospital).  Three complaints were reviewed during the audit.  Each was investigated and resolved within timeframes determined by the Health and Disability Commissioner (HDC) Code of Health and Disability Services Consumers’ Rights (the Code).  There is evidence of the complaints being discussed in relevant meetings with appropriate follow-up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managers and staff were interviewed: one village manager, one assistant to the manager and the clinical manager; six healthcare assistants (HCAs) including two working in the rest home, two in the hospital and two in the dementia unit; one registered nurse; the unit coordinators from hospital and dementia units, maintenance staff; executive chef; two housekeepers; two diversional therapists and one activities coordinator.  All were familiar with the complaints policy and relevant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the incident reporting policy which outlines responsibilities around open disclosure and communication.  Staff are required to record family notification when entering an incident into the database.  Seventeen adverse events reviewed included documentation that family had been notified of an incident.  Family members interviewed (including one from the rest home, two dementia and two hospital) confirmed they are notified following a change of health status of their family member. Residents interviewed (five from the rest home and five from the hospital) confirmed that there was good communication from the management team and registered nurses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extensive communication to residents and relatives around Covid-19.  This included provision of information around infection control practices put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Bruce McLaren Retirement Village is located in Auckland.  The facility is modern and spacious and extends across a sloping section.  There are 122 beds in the care centre along with an additional 20 serviced apartments certified for residents assessed at rest home level of care.  The facility has four levels.  Level one (ground floor) and level two have serviced apartments and dual-purpose beds.  Level three has serviced apartments with a secure entrance to the dementia unit (special care unit).  The dementia unit has 41 beds across two separate secure units (with a shared nursing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a total of 123 residents.  There were 25 residents requiring rest home level of care; 41 residents in the dementia unit (full occupancy with 20 residents in one unit and 21 in the other); 54 residents requiring hospital level of care.  There were also three residents occupying serviced apartments identified as requiring rest home level of care.  One resident in the dementia unit was under a respite contract; one resident in the dementia unit was identified as a young person with a disability (YPD) and under a YPD contract; and one resident in the hospital was under an Accident Corporation contract (ACC).  All remaining residents were on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specific to Bruce McLaren.  Each objective includes an action plan and person(s) responsible.  There are specific projects with action plans related to clinical, health and safety, human resources, and resident/relative feedback.  Details of progress are reported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Bruce McLaren has been in Ryman facilities for 12 years as administrator, assistant manager and for the past three years, as village manager.  They have completed the Ryman leadership programme.  The village manager is supported by an assistant manager (previously in reception roles for four years) and a clinical manager who has been in the role for two years and who has a background as a clinical manager in home care services for eight years.  They are supported by the regional manager who was on site during the audit.  The managers are supported by a unit coordinator (UC) in each area.  All unit coordinators are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annually of professional development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that is directed by head office (Ryman Christchurch) is established and implemented.  Quality and risk performance is reported across the facility meetings and also to the organisation’s management team.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quarterly for each service level and relative meetings are scheduled six-monthly.  The village manager attends the meetings, and minutes are maintained.  Resident and relative surveys are scheduled to be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documented processes to collect, analyse and evaluate data.  There are quality improvement plans documented when issues are identified from relative and resident surveys and from internal audit reports.  Where issues are identified in meeting minutes and through analysis of data, there is a lack of documented action plans and subsequent meetings or reports do not reflect follow-up or resolution.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Results of surveys are communicated to staff across a variety of meetings including full facility meetings, clinical meetings, restraint, caregiver, health and safety, activities, and infection control meetings.  The internal audit programme is followed as per the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A health and safety officer was interviewed, and they were able to describe their role as per the job description.  There are procedures to guide staff in managing clinical and non-clinical emergencies.  The service documents and analyses incidents/accidents, unplanned or untoward events and provides feedback to the service and staff.  Health and safety data is tabled at staff and management meetings.  A review of the risk register, and the maintenance register indicated that there is resolution of issues identified.  All new staff and contractors are inducted to health and safety processes.  There is also annual in-service training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falls are monitored monthly with strategies implemented to reduce the number of falls with a range of examples provided (eg, providing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Care staff interviewed were knowledgeable in regard to preventing falls and identifying those residents who were at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using VCare for each incident/accident with immediate action(s) and any follow-up action required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17 incident/accident reports (including witnessed and unwitnessed falls, pressure injury, challenging behaviours) included follow-up by a registered nurse. Consistent evidence of timely neurological observations were not always documented if there was a suspected injury to the head or an unwitnessed fall (link 1.3.6.1).  </w:t>
            </w:r>
          </w:p>
          <w:p w:rsidR="00EB7645" w:rsidRPr="00BE00C7" w:rsidP="00BE00C7">
            <w:pPr>
              <w:pStyle w:val="OutcomeDescription"/>
              <w:spacing w:before="120" w:after="120"/>
              <w:rPr>
                <w:rFonts w:cs="Arial"/>
                <w:b w:val="0"/>
                <w:lang w:eastAsia="en-NZ"/>
              </w:rPr>
            </w:pPr>
            <w:r w:rsidRPr="00BE00C7">
              <w:rPr>
                <w:rFonts w:cs="Arial"/>
                <w:b w:val="0"/>
                <w:lang w:eastAsia="en-NZ"/>
              </w:rPr>
              <w:t>The managers and unit coordinators are involved in the adverse event process via regular management meetings and informal meetings during the week that provide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situations would be reported to statutory authorities, (eg, Section 31 reports were sighted for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Thirteen staff files were randomly selected for review (clinical manager, assistant manager, hospital unit coordinator, unit coordinator dementia, village manager, two registered nurses, three HCAs, one kitchen manager, one activities coordinator, one administrator).  Each file included an application form and two reference checks, a signed employment contract, job description, police check, and completed orientation programme.  All files reviewed also included a current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Practicing certificates for health practitioners including the registered nurses, (doctors and nurse practitioner, physiotherapists, dietitian, pharmacists) are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The general orientation programme that is attended by all staff includes Ryman’s commitment to quality, code of conduct, staff obligations, health and safety including incident/accident reporting, infection control and manual handling.  The second aspect to the orientation programme is tailored specifically to the job role and responsibilities.  HCAs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Staff also complete annual competency questionnaires.  RNs are supported to maintain their professional competency.  Of the 17 registered nurses (including unit coordinators), 17 have completed interRAI training.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numbers of staff have completed certificates: two have certificates in health and wellbeing level two with three who have completed foundation level two; five who have completed level three; 20 who have completed level four; 30 who have completed level three dementia unit standards; eight in the process of completing dementia unit standards; two who have a diploma in health service level seven; and two diversional therapists level four. All HCAs who work in the dementia unit have completed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RNs and HCAs related to specialised procedures or treatments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not used bureau staff since mid-March 2020.  Staff turnover from April 2018 was at 16.8% turnover and it has dropped to 8.2% on 30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resident services manager, and clinical manager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unit coordinators (one hospital/RN, one rest home/RN, one dementia/RN, one serviced apartments/EN) work full time.  They stagger their schedules for seven day a week cover across the two units that are currently open.  </w:t>
            </w:r>
          </w:p>
          <w:p w:rsidR="00EB7645" w:rsidRPr="00BE00C7" w:rsidP="00BE00C7">
            <w:pPr>
              <w:pStyle w:val="OutcomeDescription"/>
              <w:spacing w:before="120" w:after="120"/>
              <w:rPr>
                <w:rFonts w:cs="Arial"/>
                <w:b w:val="0"/>
                <w:lang w:eastAsia="en-NZ"/>
              </w:rPr>
            </w:pPr>
            <w:r w:rsidRPr="00BE00C7">
              <w:rPr>
                <w:rFonts w:cs="Arial"/>
                <w:b w:val="0"/>
                <w:lang w:eastAsia="en-NZ"/>
              </w:rPr>
              <w:t>Level one (occupancy 13 hospital and 25 rest home residents) is staffed with a unit coordinator, four HCAs, one RN on the AM shift.  There are five HCAs on the PM shift including two who complete a short shift and two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two (occupancy 41 hospital residents) is staffed with a unit coordinator on the AM shift along with eight HCAs (four short shift) and two RNs; six HCAs in the afternoon (including three short shift) and two RNs; and three HCAs and one registered nurse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split into two wings with a shared nursing station (20 residents on one side and 21 on the other).  In the morning there are four HCAs (including two short shifts) split between the two units, a registered nurse and unit coordinator across both.  In the afternoon, there are two long and two short shifts (1500-2100) plus one lounge HCA who works from 1600-2000 along with one registered nurse.  Overnight there are three senior HCAs. </w:t>
            </w:r>
          </w:p>
          <w:p w:rsidR="00EB7645" w:rsidRPr="00BE00C7" w:rsidP="00BE00C7">
            <w:pPr>
              <w:pStyle w:val="OutcomeDescription"/>
              <w:spacing w:before="120" w:after="120"/>
              <w:rPr>
                <w:rFonts w:cs="Arial"/>
                <w:b w:val="0"/>
                <w:lang w:eastAsia="en-NZ"/>
              </w:rPr>
            </w:pPr>
            <w:r w:rsidRPr="00BE00C7">
              <w:rPr>
                <w:rFonts w:cs="Arial"/>
                <w:b w:val="0"/>
                <w:lang w:eastAsia="en-NZ"/>
              </w:rPr>
              <w:t>Service apartments (three rest home level residents) is staffed with one-unit coordinator/EN five days a week and a senior caregiver the remaining two days.  There are two HCAs and one servery assistant in the afternoon.  Staff from level two respond to any calls in the serviced apartments overnight.  The call system is linked to their pagers.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are stored safely in each of the three units.  Registered nurses and senior caregivers’ complete annual medication competencies and education.  Registered nurses complete syringe driver training.  Medication reconciliation of medication is checked by an RN.  Any errors are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medication audits are completed.  There is one rest home and one hospital resident self-medicating with a self-medicating assessment in place.  The medication fridge temperatures are taken weekly, and the room air temperatures are taken and recorded daily.  Temperatures have been within an acceptable range.  There are no vaccines stored at the facility. All eye drops, creams and sprays were dated on opening.  There is a bulk supply stock for hospital residents which is checked weekly for stock levels and expiry dates.  ‘As required’ medications and resident stock is checked monthly for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Sixteen medication charts were reviewed from across the three levels of care.  All medication charts had photographs, and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executive chef is supported by a team of chefs and kitchenhands.  All food services staff have completed induction, food safety training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seasonal menu with three menu choices for the midday meal and two choices for the evening meal, including a vegetarian option and gluten free foods.  The seasonal menu has been designed in consultation with the dietitian at an organisational level.  Resident dislikes are accommodated, such as fried rice.  The chef receives a resident dietary profile for all new admissions and is notified of any dietary changes.  Pureed meals are provided.  Lip plates are available to encourage residents’ independence with meals.  All meals are plated in the kitchen and delivered to the units in scan boxes.  Special diets are name labelled.  The food services are involved in catering for resident special events and functions and host fine dining monthly.  Each unit has a satellite kitchen.  All units including the dementia unit have access to snacks for the residents at all times.  Residents commented that there is always lots of food available.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food control plan that has been registered and the service is waiting for verification (due to Covid-19).  Temperatures are taken and recorded for fridges, freezer, end-cooked foods, and incoming goods.  All foods were stored correctly, and date labelled.  A cleaning schedule is maintained.  Staff were observed to be wearing appropriate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or NP visit or a referral to a nurse specialist.  The care plans are updated with any changes to care and required health monitoring interventions for individual residents are scheduled on the RN or caregiver work log.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nine wounds at hospital level care.  This included six pressure injuries (five grade two and one unstageable) and ten wounds at rest home level (nine skin tears and one pressure injury grade two).  There were six minor wounds in the dementia care unit.  There is adequate pressure relieving resources available.  All pressure injuries were facility acquired.  In total there were five residents with pressure injuries (link to 1.2.3.8).  All wounds are linked to the care plans.  Photos were taken where relevant.  The clinical manager reviews all wounds weekly.  Referrals are made as necessary to the dietitian and wound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set up on the electronic work log and include blood pressure, weight, blood sugar levels, pain, behaviour, repositioning charts, food and fluids, intentional rounding, and neurological observations, however not all neurological observations for unwitnessed falls or for a fall with a head injury had been completed as per protocol.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(DT) and three activities coordinators.  Activities are provided over seven days on the hospital and dementia units and over five days for the rest home and serviced apartments.  The activities team described how they adapt activities daily depending on the residents.  The team described how feedback is obtained and what alternatives have been made available to residents as a result of feedback (such as high teas, gardening and celebrating golden wedding anniversaries).   There is a dementia specific activity programme in place and all residents in the dementia unit have a 24-hour activity plan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been implemented.  There are set activities with the flexibility for each service level to add activities that are meaningful and relevant for the resident group including (but not limited to); Triple A exercises, board games, news and views, crafts, gardening, walks, men’s group, sensory activities including pet therapy, themed events and celebrations.  Rest home residents in serviced apartments can attend either the serviced apartment or rest home/hospital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activities are integrated for all residents including weekly entertainers and happy hour and church services.  Families are invited to attend activities.  Community links include pre-school children, choir groups and pet therapy.  There are weekly van outings for each of the units (four trips a week in all).  The service has two vans and hires a mobility van for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 life experiences and an activity assessment is completed for residents on admission.  The resident/family/whānau (as appropriate) are involved in the development of the activity plan.  The activity plan is incorporated into the myRyman care plan and evaluated six-monthly with the MDT review.  Residents/relatives can feedback on the programme through the resident and relative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files reviewed of residents who had been at the service six months, identified that long-term care plans had been evaluated by registered nurses.  Care plans had been updated with any changes to health and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evaluations described the resident’s progress against the residents identified goals and any changes made on the care plan where goals have not been met.  A number of risk assessments (including interRAI) are completed in preparation for the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multidisciplinary (MDT) review includes the RN, caregivers, DT, GP/NP, physiotherapist, resident, relative and any other health professionals involved in the resident’s care.  A record of the MDT review is kept in the resident file.  The family are notified of the outcome of the review if unable to attend.  There is at least a three-monthly review by the medical practitioner.  The family members interviewed confirmed they had been invited to attend the multidisciplinary care plan reviews and GP/NP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building warrant of fitness displayed that expires 14 October 2020, the process for the new warrant of fitness was in progress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reactive maintenance and planned maintenance schedule are maintained.  There is a monthly checklist for planned maintenance including the calibration of medical equipment, functional testing of electrical equipment and hot water temperatures in resident areas.  Hot water temperatures in resident areas are stable below 45 degrees Celsius.  The maintenance person has completed an electrical testing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moving freely around the areas with mobility aids where required.  The external areas and gardens were well maintained.  There is a small upstairs outdoor balcony area in the hospital and a larger secure one in the dementia unit.  All outdoor areas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access to all communal areas.  Residents are able to access outdoor areas safely or with supervision.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coordinators complete a monthly report.  Monthly data is reported to the infection control committee and meeting minutes are available to staff.  Staff are informed of surveillance through the variety of clinical meetings held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close liaison with the GPs and laboratory service that advise and provide feedback and information to the service.  Systems in place are appropriate to the size and complexity of the facility.  Benchmarking against other Ryman facilities occurs.  Quality improvements are commenced for any areas identified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improvements are commenced for any areas identified for improvement (eg, additional training for staff around wound care following a spike in wound infections in the dementia unit).  One gastroenteritis outbreak was well managed during August 2019.  Public Health were informed, and staff followed policies around outbreaks. </w:t>
            </w:r>
          </w:p>
          <w:p w:rsidR="00EB7645" w:rsidRPr="00BE00C7" w:rsidP="00BE00C7">
            <w:pPr>
              <w:pStyle w:val="OutcomeDescription"/>
              <w:spacing w:before="120" w:after="120"/>
              <w:rPr>
                <w:rFonts w:cs="Arial"/>
                <w:b w:val="0"/>
                <w:lang w:eastAsia="en-NZ"/>
              </w:rPr>
            </w:pPr>
            <w:r w:rsidRPr="00BE00C7">
              <w:rPr>
                <w:rFonts w:cs="Arial"/>
                <w:b w:val="0"/>
                <w:lang w:eastAsia="en-NZ"/>
              </w:rPr>
              <w:t>Ryman Bruce McLaren has implemented the Ryman Covid-19 precautions.  All visitors wear masks, have temperatures recorded and must complete health screening.  An additional cleaning schedule has been implemented.  Weekly updates from the central office have been sent to all Ryman facilities including Bruce McLaren.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On interview they confirmed knowledge around both restraints and enablers.  During the audit, there were no residents using any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including staff competencies are implemented addressing restraint minimisation and enablers, falls prevention and analysis, and the management of challenging behaviours.  This begins during their induction to the service and continues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9"/>
        <w:gridCol w:w="1280"/>
        <w:gridCol w:w="6103"/>
        <w:gridCol w:w="3248"/>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plans are documented when there are issues identified in the relative and resident surveys.  There is limited evidence of resolution of issues when these are identified in meeting minutes and a lack of documentation of corrective action plans and evidence of resolution when some other data shows issues following analysis. This includes, for example, follow-up of issues related to challenging behaviour in June 2020 documented in the clinical meeting with similar issues raised in the July meeting. In July 2020, it was noted that pressure injuries were ‘creeping up’ and in the September meeting, pressure injuries were again noted with a slight increase noted in the dementia unit.  Action plans and evidence of follow up of these issues was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and evidence of resolution of issues is not always documented when issues arise.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corrective action plans and evidence of resolution of issues when issues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on the care floors have timely interRAI assessments.  The coordinator described how the interRAI information had been applied for, the three rest home level residents in the serviced apartments, but this had not been received as yet.   All three had myRyman assessments and a care plan and all three had been at rest home level for a considerable period of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rest home level residents in the serviced apartments do not have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 under the ARRC agreement have timely interRAI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reviewed on the electronic work logs included blood pressure, weight, blood sugar levels, pain, behaviour, repositioning charts, food and fluids, intentional rounding, and neurological observations, however not all neurological observations had been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seven residents’ electronic progress notes for those residents who experienced an unwitnessed fall failed to indicate the timeliness for initiating and continuing to complete neurological observations as per the falls protocol.  The clinical manager reported that this was an issue with the electronic system and that he believed neurological observations were being done by the nursing staff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electronic system used to record neurological observations reflects the actual time(s) of neurological observations as per protocol for unwitnessed falls.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Bruce McLaren Retirement Village Limited - Bruce McLaren Retirement Village Limited</w:t>
    </w:r>
    <w:bookmarkEnd w:id="58"/>
    <w:r>
      <w:rPr>
        <w:rFonts w:cs="Arial"/>
        <w:sz w:val="16"/>
        <w:szCs w:val="20"/>
      </w:rPr>
      <w:tab/>
      <w:t xml:space="preserve">Date of Audit: </w:t>
    </w:r>
    <w:bookmarkStart w:id="59" w:name="AuditStartDate1"/>
    <w:r>
      <w:rPr>
        <w:rFonts w:cs="Arial"/>
        <w:sz w:val="16"/>
        <w:szCs w:val="20"/>
      </w:rPr>
      <w:t>5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