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Archer Care Facility Limited - Archer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Archer Care Facility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Archer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October 2020</w:t>
      </w:r>
      <w:bookmarkEnd w:id="7"/>
      <w:r w:rsidRPr="009418D4">
        <w:rPr>
          <w:rFonts w:cs="Arial"/>
        </w:rPr>
        <w:tab/>
        <w:t xml:space="preserve">End date: </w:t>
      </w:r>
      <w:bookmarkStart w:id="8" w:name="AuditEndDate"/>
      <w:r w:rsidR="00A4268A">
        <w:rPr>
          <w:rFonts w:cs="Arial"/>
        </w:rPr>
        <w:t>14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Archer Village is governed by a charitable trust and is part of the Archer Retirement Village.  The service is certified to provide rest home and hospital level care for up to 54 residents.  On the day of audit there were 48 residents.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staff, the general practitioner and management.  </w:t>
      </w:r>
    </w:p>
    <w:p w:rsidRPr="00A4268A">
      <w:pPr>
        <w:spacing w:before="240" w:line="276" w:lineRule="auto"/>
        <w:rPr>
          <w:rFonts w:eastAsia="Calibri"/>
        </w:rPr>
      </w:pPr>
      <w:r w:rsidRPr="00A4268A">
        <w:rPr>
          <w:rFonts w:eastAsia="Calibri"/>
        </w:rPr>
        <w:t xml:space="preserve">The village manager (non-clinical) has been in her role for two and a half years, she is supported by a clinical manager who has been in the role since December 2019 and has experience in aged care management.  They are supported by a general manager, who oversees operations across three sites.  </w:t>
      </w:r>
    </w:p>
    <w:p w:rsidRPr="00A4268A">
      <w:pPr>
        <w:spacing w:before="240" w:line="276" w:lineRule="auto"/>
        <w:rPr>
          <w:rFonts w:eastAsia="Calibri"/>
        </w:rPr>
      </w:pPr>
      <w:r w:rsidRPr="00A4268A">
        <w:rPr>
          <w:rFonts w:eastAsia="Calibri"/>
        </w:rPr>
        <w:t xml:space="preserve">Residents and the general practitioner (GP) interviewed were very complimentary of the services and care they receive.  </w:t>
      </w:r>
    </w:p>
    <w:p w:rsidRPr="00A4268A">
      <w:pPr>
        <w:spacing w:before="240" w:line="276" w:lineRule="auto"/>
        <w:rPr>
          <w:rFonts w:eastAsia="Calibri"/>
        </w:rPr>
      </w:pPr>
      <w:r w:rsidRPr="00A4268A">
        <w:rPr>
          <w:rFonts w:eastAsia="Calibri"/>
        </w:rPr>
        <w:t>The five previous partial provisional audit shortfalls have been addressed.  All shortfalls were related to introducing hospital level care.</w:t>
      </w:r>
    </w:p>
    <w:p w:rsidRPr="00A4268A">
      <w:pPr>
        <w:spacing w:before="240" w:line="276" w:lineRule="auto"/>
        <w:rPr>
          <w:rFonts w:eastAsia="Calibri"/>
        </w:rPr>
      </w:pPr>
      <w:r w:rsidRPr="00A4268A">
        <w:rPr>
          <w:rFonts w:eastAsia="Calibri"/>
        </w:rPr>
        <w:t xml:space="preserve">This surveillance audit identified areas for improvement around documentation, interRAI timeframes and aspects of care planning.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A policy on open disclosure is in place.  There is evidence that residents and relatives are kept informed.  The rights of the resident and/or their family to make a complaint is understood, respected and upheld by the service.  A system for managing complaints is in place.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Key components of service delivery is linked to the quality management system.  There is an implemented internal audit programme to monitor outcomes.  The quality process being implemented includes regularly reviewed policies, an internal audit programme and a health and safety programme that includes hazard management.      </w:t>
      </w:r>
    </w:p>
    <w:p w:rsidRPr="00A4268A">
      <w:pPr>
        <w:spacing w:before="240" w:line="276" w:lineRule="auto"/>
        <w:rPr>
          <w:rFonts w:eastAsia="Calibri"/>
        </w:rPr>
      </w:pPr>
      <w:r w:rsidRPr="00A4268A">
        <w:rPr>
          <w:rFonts w:eastAsia="Calibri"/>
        </w:rPr>
        <w:t xml:space="preserve">There is an electronic reporting process being used to record and manage resident incidents.  Incidents are collated monthly and reported to the meetings.  Relatives are notified of all incidents promptly.  </w:t>
      </w:r>
    </w:p>
    <w:p w:rsidRPr="00A4268A">
      <w:pPr>
        <w:spacing w:before="240" w:line="276" w:lineRule="auto"/>
        <w:rPr>
          <w:rFonts w:eastAsia="Calibri"/>
        </w:rPr>
      </w:pPr>
      <w:r w:rsidRPr="00A4268A">
        <w:rPr>
          <w:rFonts w:eastAsia="Calibri"/>
        </w:rPr>
        <w:t xml:space="preserve">A staff training programme is implemented and based around policies and procedures.  Annual resident and relative satisfaction surveys are completed.  </w:t>
      </w:r>
    </w:p>
    <w:p w:rsidRPr="00A4268A">
      <w:pPr>
        <w:spacing w:before="240" w:line="276" w:lineRule="auto"/>
        <w:rPr>
          <w:rFonts w:eastAsia="Calibri"/>
        </w:rPr>
      </w:pPr>
      <w:r w:rsidRPr="00A4268A">
        <w:rPr>
          <w:rFonts w:eastAsia="Calibri"/>
        </w:rPr>
        <w:t xml:space="preserve">Human resources are managed in accordance with good employment practice and meeting legislative requirements.  An orientation programme is in place.  The service has sufficient staff allocated to enable the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The registered nurses assess, plan and review residents' needs, outcomes and goals with the resident and/or family/whānau input.  Care plans viewed on the electronic system demonstrated service integration and were evaluated at least six-monthly.  The general practitioner reviews the residents at least three-monthly.  Allied health professionals are involved in the care of residents as required.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and senior healthcare assistants are responsible for administration of medicines and complete annual education and medication competencies.  The electronic medicine charts reviewed met legislative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 xml:space="preserve">The social events team provides and implements an interesting and varied activity programme.  The programme includes community visitors and outings, entertainment and activities that meet the individual recreational,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There is a reactive and planned maintenance programme in place.  Residents can freely mobilise within the communal areas with safe access to the outdoors,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Archer Village has restraint minimisation and safe practice policies and procedures in place.  At the time of the audit there were no residents using restraint or enablers.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clinical manager is the infection control coordinator.  The infection control programme and its content and detail are appropriate for the size, complexity and degree of risk associated with the service.  Information obtained through surveillance is used to determine infection control activities and education needs within the facility.  Staff complete annual training on infection control.</w:t>
      </w:r>
    </w:p>
    <w:p w:rsidRPr="00A4268A">
      <w:pPr>
        <w:spacing w:before="240" w:line="276" w:lineRule="auto"/>
        <w:rPr>
          <w:rFonts w:eastAsia="Calibri"/>
        </w:rPr>
      </w:pPr>
      <w:r w:rsidRPr="00A4268A">
        <w:rPr>
          <w:rFonts w:eastAsia="Calibri"/>
        </w:rPr>
        <w:t xml:space="preserve">The Covid-19 lockdown periods were well managed, and logs documented as required.  Education sessions were held around hand washing and donning and doffing personal protective equipment.  Residents and relatives were kept up to date through newsletters.  Staff were updated daily.  Adequate supplies of personal protective equipment were sighted.  Contact tracing has been maintained, and visitors are required to sign the register which includes a wellness declaration.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18"/>
        <w:gridCol w:w="1280"/>
        <w:gridCol w:w="99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maintains an electronic and paper-based record of all complaints (verbal and written).  Documentation including follow-up letters and resolution, demonstrates that complaints are being managed in accordance with guidelines set by the Health and Disability Commissioner.  The complaint folder also contains resident concerns and issues (not complaints) which have been followed up.  </w:t>
            </w:r>
          </w:p>
          <w:p w:rsidR="00EB7645" w:rsidRPr="00BE00C7" w:rsidP="00BE00C7">
            <w:pPr>
              <w:pStyle w:val="OutcomeDescription"/>
              <w:spacing w:before="120" w:after="120"/>
              <w:rPr>
                <w:rFonts w:cs="Arial"/>
                <w:b w:val="0"/>
                <w:lang w:eastAsia="en-NZ"/>
              </w:rPr>
            </w:pPr>
            <w:r w:rsidRPr="00BE00C7">
              <w:rPr>
                <w:rFonts w:cs="Arial"/>
                <w:b w:val="0"/>
                <w:lang w:eastAsia="en-NZ"/>
              </w:rPr>
              <w:t>Six complaints have been logged for 2019 and 2020 (year to date). All complaints documented a comprehensive investigation, follow-up, and replies to the complainant.  Complaints all included a section to confirm that the complainant was happy with the outcome.  Training and education sessions have been provided to staff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could describe the procedure for directing complaints to the most senior person on duty.  Discussions with residents confirmed they were provided with information on complaints and complaints forms.  Residents interviewed felt comfortable discussing issues/concerns with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information is provided at entry to residents and family/whānau.  Six residents interviewed (three rest home and three hospital) stated that they were welcomed on entry and were given time and explanation about the services and procedures.  The village manager, clinical manager and registered nurses are available to residents and relatives and they promote an open-door policy.  Ten electronic incident forms reviewed for September and October 2020, did not always document relatives were notified.  Staff interviewed (three healthcare assistants, two registered nurses, and the social events manager) fluently described instances where relatives would be notified.  Interpreter services are available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Archer retirement village is part of the Archer Group and is governed by a charitable trust board.  The Archer Group own three retirement villages, two (including Archer Village) have care centres.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Archer village care centre provides rest home and hospital level care to up to 54 residents.  On the day of audit there were 48 residents: 32 rest home including one resident on respite care, and 16 hospital level residents.  All long-term residents were under the age-related residential care contract.  Archer is governed by a charitable trust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oversees the three sites, and reports to the board monthly.  The village (site) manager has been in her role for two and a half years.  She reports to the general manager on a variety of operational issues and reports to the leadership, quality and risk meeting held monthly.  The clinical manager (registered nurse) has been in her role since December 2019 and has previous clinical management and quality experience.  They are supported by registered nurses and long-standing healthcare assistants.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current strategic plan, a business plan and a quality and risk management programme.  The service mission reflects the Christian values.  There are 2020-2021 goals for all departments.  Goals for the year include reducing medication errors, the implementation of the electronic system, enhancing the fine dining experience and refurbishments around the facility.  Progress toward previous goals has been monitored and documented at the leadership, quality and risk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completed the eight hours education in relation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describes the company’s quality improvement processes.  Quality management systems are linked to internal audits, incident and accident reporting, health and safety reporting, infection control data, surveys and complaints management.  Data collected, is analysed and compared monthly and annually for a range of adverse event data.  Where improvements are identified, corrective actions are developed, implemented and regularly evaluated.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combined leadership/quality and risk management meeting is held monthly and is attended by heads of departments across the care centre and village.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Minutes of the meeting evidenced discussions from each department and corrective actions outstanding from the previous meeting.  Monthly staff and clinical meetings are held, however, discussions around quality data is not documented as occurring during meetings.  Staff interviewed reported graphs and charts of data are displayed on staff noticeboards and are discussed at handovers as infections and falls occur.  Health and safety is incorporated in the leadership/quality meeting.  Each department has reviewed the hazard register which was updated in June 2020.  The property and maintenance team ensure all maintenance and hazards are dealt with promptly.  There is a strong focus on staff wellbeing, with prizes awarded for incident and near miss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completes or delegates clinical internal audits.  The village manager completes and delegates non-clinical internal audits.  An electronic record of corrective actions is in place.  Corrective actions are signed off by the clinical or village manager when completed or remain on the log if ongoing.  </w:t>
            </w:r>
          </w:p>
          <w:p w:rsidR="00EB7645" w:rsidRPr="00BE00C7" w:rsidP="00BE00C7">
            <w:pPr>
              <w:pStyle w:val="OutcomeDescription"/>
              <w:spacing w:before="120" w:after="120"/>
              <w:rPr>
                <w:rFonts w:cs="Arial"/>
                <w:b w:val="0"/>
                <w:lang w:eastAsia="en-NZ"/>
              </w:rPr>
            </w:pPr>
            <w:r w:rsidRPr="00BE00C7">
              <w:rPr>
                <w:rFonts w:cs="Arial"/>
                <w:b w:val="0"/>
                <w:lang w:eastAsia="en-NZ"/>
              </w:rPr>
              <w:t>Annual satisfaction surveys are completed.  The results have been collated, analysed and discussed at the leadership/quality and risk meetings.  The 2020 surveys have yet to be distributed due to Covid-19.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2019 resident food satisfaction survey showed overall satisfaction.  Eighty-three percent of residents thought there was enough choice on the menu, and 80% reported portion sizes were satisfactory. </w:t>
            </w:r>
          </w:p>
          <w:p w:rsidR="00EB7645" w:rsidRPr="00BE00C7" w:rsidP="00BE00C7">
            <w:pPr>
              <w:pStyle w:val="OutcomeDescription"/>
              <w:spacing w:before="120" w:after="120"/>
              <w:rPr>
                <w:rFonts w:cs="Arial"/>
                <w:b w:val="0"/>
                <w:lang w:eastAsia="en-NZ"/>
              </w:rPr>
            </w:pPr>
            <w:r w:rsidRPr="00BE00C7">
              <w:rPr>
                <w:rFonts w:cs="Arial"/>
                <w:b w:val="0"/>
                <w:lang w:eastAsia="en-NZ"/>
              </w:rPr>
              <w:t>The resident satisfaction survey evidenced overall satisfaction around (but not limited to) communication, answering of call bells, free of odours, and the activity programme.  Areas of lower satisfaction had already been identified by the staff and management.  Corrective actions had been implemented by the time the collation had been completed.  The service has decided to develop a site-specific survey for 2020 to gain the information they require to improve their service.</w:t>
            </w:r>
          </w:p>
          <w:p w:rsidR="00EB7645" w:rsidRPr="00BE00C7" w:rsidP="00BE00C7">
            <w:pPr>
              <w:pStyle w:val="OutcomeDescription"/>
              <w:spacing w:before="120" w:after="120"/>
              <w:rPr>
                <w:rFonts w:cs="Arial"/>
                <w:b w:val="0"/>
                <w:lang w:eastAsia="en-NZ"/>
              </w:rPr>
            </w:pPr>
            <w:r w:rsidRPr="00BE00C7">
              <w:rPr>
                <w:rFonts w:cs="Arial"/>
                <w:b w:val="0"/>
                <w:lang w:eastAsia="en-NZ"/>
              </w:rPr>
              <w:t>The relatives’ satisfaction survey evidenced 65% were satisfied or very satisfied with the responsiveness of staff in relation to concerns raised, 85% were happy with laundry services, 95% felt there was a high standard of cleanliness, and 70% felt staff were well skilled.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wireless sensor mats, and the development of specific falls management plans to meet the needs of each resident who is at risk of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electronic adverse event reports are completed for each incident/accident, with immediate action noted and any follow-up action(s) required.  Incident/accident data is collated online.  Ten electronic resident related accident/incident forms were reviewed.  Each event involving a resident reflected follow-up by a registered nurse.  Neurological observations are conducted for suspected head injuries, and where possible opportunities to minimise future risks were identified and implemented, however, next of kin notifications were not always documented (link 1.1.9.1).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are aware of their requirement to notify relevant authorities in relation to essential notifications.  Notifications were made to Public Health following two outbreaks, norovirus in 2018.  There has been no requirement to complete section 31 notifications since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Six staff files reviewed (clinical manger, one registered nurse (RN), one hospitality manager, one social event manager, and two healthcare assistants (HCAs) evidenced implementation of the recruitment process, employment contracts, completed orientation and annual performance appraisals.  A register of practising certificates was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and includes buddying when first employed.  Role specific orientations are in place for all roles including registered nurses.  The orientation includes manual handling and hoist competencies for all clinical staff.  The previous findings from the partial provisional audit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Core competencies are completed annually including manual handling, hoists, ceiling hoists, medication, and hand hygiene.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with a catch-up plan in place which includes the introduction of an online system.  </w:t>
            </w:r>
          </w:p>
          <w:p w:rsidR="00EB7645" w:rsidRPr="00BE00C7" w:rsidP="00BE00C7">
            <w:pPr>
              <w:pStyle w:val="OutcomeDescription"/>
              <w:spacing w:before="120" w:after="120"/>
              <w:rPr>
                <w:rFonts w:cs="Arial"/>
                <w:b w:val="0"/>
                <w:lang w:eastAsia="en-NZ"/>
              </w:rPr>
            </w:pPr>
            <w:r w:rsidRPr="00BE00C7">
              <w:rPr>
                <w:rFonts w:cs="Arial"/>
                <w:b w:val="0"/>
                <w:lang w:eastAsia="en-NZ"/>
              </w:rPr>
              <w:t>The healthcare assistants undertake aged care qualifications through Careerforce.  Currently there is one HCA with New Zealand Qualification Authority (NZQA) level 4, five with level 3, two with level 2 and one with level 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and training for clinical staff is linked to external education provided by the district health board.  RN-specific training viewed included: syringe driver, wound care, and first aid.  Four RNs and the clinical manager are competent in interRAI.  There has been a registered nurse rostered on all shifts prior to the introduction of hospital level residents.  the previous finding from the partial provisional audit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general manager (non-clinical) is available Monday to Friday between all sites.  The village manager, and clinical manager are full-time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A resident allocation list is maintained to share the resident load evenly between staff.</w:t>
            </w:r>
          </w:p>
          <w:p w:rsidR="00EB7645" w:rsidRPr="00BE00C7" w:rsidP="00BE00C7">
            <w:pPr>
              <w:pStyle w:val="OutcomeDescription"/>
              <w:spacing w:before="120" w:after="120"/>
              <w:rPr>
                <w:rFonts w:cs="Arial"/>
                <w:b w:val="0"/>
                <w:lang w:eastAsia="en-NZ"/>
              </w:rPr>
            </w:pPr>
            <w:r w:rsidRPr="00BE00C7">
              <w:rPr>
                <w:rFonts w:cs="Arial"/>
                <w:b w:val="0"/>
                <w:lang w:eastAsia="en-NZ"/>
              </w:rPr>
              <w:t>There are two registered nurses on the day shift Monday to Friday; 1x 8 am to 4.30 pm and 1x 8.30 am to 5 pm.  One registered nurse over the weekend from 8 am to 4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afternoon shift has one registered nurse seven days a week from 4 pm to midnight.  There is one registered nurse and two HCAs from midnight to 8 am.  </w:t>
            </w:r>
          </w:p>
          <w:p w:rsidR="00EB7645" w:rsidRPr="00BE00C7" w:rsidP="00BE00C7">
            <w:pPr>
              <w:pStyle w:val="OutcomeDescription"/>
              <w:spacing w:before="120" w:after="120"/>
              <w:rPr>
                <w:rFonts w:cs="Arial"/>
                <w:b w:val="0"/>
                <w:lang w:eastAsia="en-NZ"/>
              </w:rPr>
            </w:pPr>
            <w:r w:rsidRPr="00BE00C7">
              <w:rPr>
                <w:rFonts w:cs="Arial"/>
                <w:b w:val="0"/>
                <w:lang w:eastAsia="en-NZ"/>
              </w:rPr>
              <w:t>The morning shift has seven HCAs: 2x 7 am to 3.30 pm, 1x 7.30 am to 4 pm, 1x 8.30 am to 5 pm, 1x 8 am to 4 pm and 2x 8 am to 1 pm.</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has five HCAs: 3x 4 pm to midnight, 1x 4.30 pm to 9 pm and 1x 4.30 pm to 9.30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has template rosters too increase staffing as hospital level residents increase in numbers.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stated there were sufficient numbers of staff on duty to safely deliver residents cares.  Staff interviewed felt there was sufficient staff on duty and reported low usage of agency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stored safely in the fully completed medication room which has keypad entry.  The finding from the partial provisional audit has been addressed.  Clinical staff who administer medications (registered nurses, and medication competent healthcare assistants) have been assessed for competency on an annual basis and attend annual medication education.  Registered nurses have completed syringe driver training.  All medication blister packs are checked on delivery against the electronic medication charts.  There were four rest home resident’s self-administering medication on the day of the audit.  Competencies were in place and had been reviewed three-monthly.  There are locked drawers available in each resident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is checked as per policy, and temperatures are maintained within the acceptable temperature range.  Medication room temperatures were monitored and were below the recommended 25 degrees Celsius.  All eye drops sighted in the two medication trolleys were dated on opening.  The medication trolleys were locked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electronic medication charts (six rest home and six hospital) were reviewed and met prescribing requirements.  Medication charts had photo identification and allergy status notified.  The GP had reviewed the medication charts three monthly.  ‘As required’ medications had prescribed indications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are overseen by a chef.  All meals and baking are prepared and cooked on site by qualified chef/cook.  All food services staff have completed food safety training.  The kitchen has been partially refurbished, with the new ceiling, whiteboard walls and a reconfiguration of the central cooking area complete.  The flooring, and installation of the new dishwasher has been delayed due to Covid-19.  The previous finding around unpainted shelving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Food Control Plan in place which expires July 2021.  The four-week rotating menu has been approved and reviewed by a registered dietitian in August 2020.  The chef and the dietitian have been working on the high protein diet for residents with unintentional weight loss and increasing the standard of teatime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receives resident dietary profiles and is notified of any dietary changes for residents.  The residents have a nutritional profile developed on admission, which identifies dietary requirements and likes and dislikes.  The kitchen is adjacent to the main dining room where residents who are able plate their own meals from the bain marie, otherwise staff plate the meals for the residents.  Trays are taken to the resident rooms in hot boxes by healthcare assistants.  Special equipment such as lipped plates and built-up spoons are available as needs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perishable foods and dry goods were date labelled.  A cleaning schedule is maintained.  Staff were observed to be wearing appropriate personal protective clothing.  Chemicals were stored safely.  Freezer, fridge and end-cooked, reheating, cooling and serving temperatures are taken and recorded daily.  Food is probed for temperature prior to going into the hot box or the self-serve bain marie, which was within acceptable ranges.  The previous finding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were complimentary of the meals and baking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consultation.  There is documented evidence in the electronic progress notes and correspondence section of family/whānau contact in each resident file that indicates family were notified of any changes to their relative’s health (link 1.1.9.1), including (but not limited to) accident/incidents, behaviours, infections, health professional visits, referrals and changes in medications.  Short-term care plans were documented for acute needs, however, not all interventions were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An online wound register is maintained.  Wound assessments, treatment plans and ongoing evaluations were in place for one hospital resident (skin tear), and five rest home residents (two skin tears, one abrasion, one boil and a chronic wound).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identified in resident files and include a urinary continence assessment, bowel management, and continence products identified.  There is access to a continence nurse specialist by referral.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more frequently if weight is of concern.  Nutritional requirements and assessments are completed on admission, identifying resident nutritional status and preferences.  Paper-based monitoring forms are used for weight, vital signs, blood sugar levels, pain, challenging behaviour, food and fluid charts, and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social events team is led by an experienced full-time social event manager (qualified diversional therapist), who provides oversight of social events across all sites.  She is supported by an assistant (DT) who is employed for 22 hours a week.  An activity profile is completed on admission in consultation with the resident/family (as appropriate).  Archer uses the tree of life to provide a visual history of the resident’s life and uses a ‘simply me’ tool to identify routines and preferences.  Documentation in the resident files was individualised and reflected the specific needs and interests of each resident.  In the long-term resident files reviewed, the activity care plans and evaluations were individualised and had been reviewed at least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monthly planner is developed (fortnightly during lockdown periods) which is provided to all residents and displayed on noticeboards.  The routine programme includes exercises, newspaper reading (resident led) swimming, group games, physiotherapy ball games.  Weekend activities are led by volunteers and staff.  Sport on TV is advertised, movies are available, one volunteer provides a song-a-long and group games.  Another volunteer plays cards with residents on a Sunday.  Church services are held on Sundays.  Resident outings include an ‘egg run’, where staff order free range eggs from Lincoln, and the residents collect the order and distribute the eggs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 residents have input into review of the wider programme.  Informal monthly forums are held to reflect on the month, including suggestions to include in the programme for the following month and feedback on activities of lower satisfaction.  Formal resident meetings are held bi-monthly, which provides a more structured review of the programme and residents provide feedback of their suggestions, concerns and issues across the departments.  </w:t>
            </w:r>
          </w:p>
          <w:p w:rsidR="00EB7645" w:rsidRPr="00BE00C7" w:rsidP="00BE00C7">
            <w:pPr>
              <w:pStyle w:val="OutcomeDescription"/>
              <w:spacing w:before="120" w:after="120"/>
              <w:rPr>
                <w:rFonts w:cs="Arial"/>
                <w:b w:val="0"/>
                <w:lang w:eastAsia="en-NZ"/>
              </w:rPr>
            </w:pPr>
            <w:r w:rsidRPr="00BE00C7">
              <w:rPr>
                <w:rFonts w:cs="Arial"/>
                <w:b w:val="0"/>
                <w:lang w:eastAsia="en-NZ"/>
              </w:rPr>
              <w:t>Archer Village has endeavoured to maintain the continuous improvement awarded at the certification audit. The annual holiday had to be cancelled due to Covid-19 restrictions.  The Phoebe Elizabeth fund is used for resident welfare including going towards the holiday fund.  The service continues to fundraise for the fund.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Covid-19 lockdown the usual social calendar was maintained and enhanced with special afternoon and morning teas for residents.  A wellness group was developed which provided a forum for residents to talk about how the lockdown period was affecting them.  Zoom and facetime sessions were held for families to keep in touch with residents.  Walking group sessions were increased as weather permitted.  One resident celebrated a special birthday during the lockdown period.  Two tables were set up on either side of the fence, with flowers and balloons, and disposable cutlery and glasses for a socially distanced afternoon tea.  The birthday presents were delivered earlier, wiped and presented to the resident so they could open the presents with their 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for long-term residents were evaluated by the registered nurses within three weeks of admission.  Overall, the long-term care plans have been evaluated by the RN six monthly or earlier for any health changes in the electronic resident files reviewed, however, the evaluations were not always in line with interRAI reassessments (link 1.3.3.3).  Evaluations reviewed, identified if the resident goals had been met or unmet.  The GP reviews the residents at least three monthly or earlier if required.  Ongoing nursing evaluations occur as indicated and are documented within the electronic progress notes.  Relatives are invited to attend GP reviews (documented in the progress notes), if they are unable to attend, they are updated of the changes as documented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code of compliance which expires 1 February 2021.  There is a maintenance person employed to address the reactive and planned maintenance programme.  There are gardeners employed to manage the lawns and grounds.  The planned maintenance schedule includes electrical testing and tagging, resident equipment checks, calibrations of weigh scales and clinical equipment and testing and tagging of electrical equipment.  Monthly hot water tests are completed for resident areas and are below 45 degrees Celsius.  Monthly maintenance internal audits are completed.  Essential contractors/tradespeople are available 24 hours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promotes safe mobility with the use of mobility aids.  Residents were observed moving freely around the communal areas with mobility aids where required.  The external areas and gardens were well maintained.  Outdoor areas had seating and shaded areas available.  There is safe access to all communal areas.  Healthcare assistants interviewed stated they have adequate equipment to safely deliver care for residents.  Residents are able to bring their own possessions into the home and are able to adorn their room as desired.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Port Hills wing has been fully refurbished.  The box shelves have been removed, and hi/low hospital beds and ceiling hoists have been installed in all resident rooms.  The previous finding from the partial provisional audit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(9 April 2019).  The finding from the partial provisional audit has been addressed.  There are emergency management plans in place to ensure health, civil defence and other emergencies are included.  Fire training and security situations are part of orientation of new staff and include competency assessments.  Six monthly fire evacuation practice documentation was sighted with the last evacuation having occurred in July 2020 which included fire warden training.  A contracted service provides checking of all facility equipment including fire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equipment is available at the facility.  There are emergency kits and equipment stored centrally in the facility.  In the event of a civil defence emergency there are adequate supplies including food, water, blankets and gas cooking.  The service has an emergency generator for emergency power and short-term back-up power for emergency lighting. A minimum of one person trained in first aid and cardiopulmonary resuscitation (CPR) is available at all times.  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monitoring is the responsibility of the Infection Control Coordinator (the clinical manager).  All infections are entered into the electronic database, which generates a monthly analysis of the data.  There is an end of month analysis with any trends identified and corrective actions for infection events above the industry key performance indicators.  There are monthly comparisons of data.  Outcomes are discussed at the leadership/quality meetings, however, are not documented as discussed with staff (1.2.3.6).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outbreaks in 2018, which were managed and documented well, with notifications made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was managed well.  Logs were maintained of staff and resident screening.  Daily updates with staff were held during handovers.  Newsletters were sent to relatives and to residents.  A resource folder was maintained with current advice and regulations.  The infection control officer has developed a flip chart for staff to access quickly with bullet point instructions to follow during each level of lockdown.  Hand hygiene and personal protective competencies were completed.  Adequate supplies of PPE and hand sanitisers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There are clear guidelines in the policy to determine what a restraint is and what an enabler is.  The restraint standards are being implemented and implementation of any restraint and enablers would be reviewed through internal audits, RN and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Enablers are assessed as required for maintaining safety and independence and are used voluntarily by the residents.  On the day of audit, there were no residents with restraint and no residents using enablers.  Healthcare assistants interviewed were able to describe the differences between restraint and enablers.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17"/>
        <w:gridCol w:w="1280"/>
        <w:gridCol w:w="6026"/>
        <w:gridCol w:w="2534"/>
        <w:gridCol w:w="15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Seventy percent of relatives in the 2019 satisfaction survey were very satisfied with the way staff consulted around residents’ welfare.  Sixty-five percent indicated they would like more contact when asked around the frequency Archer home informed them of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 notifications were not always documented either in the progress notes or on the electronic adverse event forms following incidents.  No relatives were available for interview on the day of the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 reports for four hospital and one rest home resident did not document relatives were notified following an incident.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communication with relatives is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data is collated around infections and adverse events.  The data is entered onto the electronic system, which provides graphs and charts.  The data is analysed by the clinical manager for trends, and corrective actions are entered onto the electronic corrective action log.  Staff reported data is discussed at handovers, and graphs are available on noticeboards, however there is no documentation of quality data being discussed at meetings.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documented evidence of quality data and corrective actions being discussed at the leadership/quality and risk meetings, the registered nurse meetings or the staff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discussions held around quality data and corrective actions are documented in the meeting minutes.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assessments and care plans were developed and reviewed within timeframes.  Overall, initial interRAI assessments were completed within expected timeframes, however, not all re-assessments were completed within six months.</w:t>
            </w:r>
          </w:p>
          <w:p w:rsidR="00EB7645" w:rsidRPr="00BE00C7" w:rsidP="00BE00C7">
            <w:pPr>
              <w:pStyle w:val="OutcomeDescription"/>
              <w:spacing w:before="120" w:after="120"/>
              <w:rPr>
                <w:rFonts w:cs="Arial"/>
                <w:b w:val="0"/>
                <w:lang w:eastAsia="en-NZ"/>
              </w:rPr>
            </w:pPr>
            <w:r w:rsidRPr="00BE00C7">
              <w:rPr>
                <w:rFonts w:cs="Arial"/>
                <w:b w:val="0"/>
                <w:lang w:eastAsia="en-NZ"/>
              </w:rPr>
              <w:t>Long-term care plans had been reviewed when changes in health status occurred (within six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hospital residents and one rest home resident did not have interRAI reassessments completed within the six-month timeframe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interRAI assessments are completed within expected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Overall, interventions and corresponding monitoring charts were documented.  The HCAs interviewed felt there was adequate information in the care plans to guide them to provide a good standard of care.  The HCAs reported they are updated of new interventions and changes to resident cares at handovers, however, this is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rest home resident did not have interventions documented around the care of a plaster cast, increased care required and pain following a fracture.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One hospital resident with challenging behaviours did not have triggers or individualised de-escalation strategies documented in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current interventions are documented in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Archer Care Facility Limited - Archer Village</w:t>
    </w:r>
    <w:bookmarkEnd w:id="58"/>
    <w:r>
      <w:rPr>
        <w:rFonts w:cs="Arial"/>
        <w:sz w:val="16"/>
        <w:szCs w:val="20"/>
      </w:rPr>
      <w:tab/>
      <w:t xml:space="preserve">Date of Audit: </w:t>
    </w:r>
    <w:bookmarkStart w:id="59" w:name="AuditStartDate1"/>
    <w:r>
      <w:rPr>
        <w:rFonts w:cs="Arial"/>
        <w:sz w:val="16"/>
        <w:szCs w:val="20"/>
      </w:rPr>
      <w:t>13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