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Kauwhata Retirement Trust Board - Aparangi Village Residential Care Unit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Kauwhata Retirement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Aparangi Village Residential Care Unit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November 2020</w:t>
      </w:r>
      <w:bookmarkEnd w:id="7"/>
      <w:r w:rsidRPr="009418D4">
        <w:rPr>
          <w:rFonts w:cs="Arial"/>
        </w:rPr>
        <w:tab/>
        <w:t xml:space="preserve">End date: </w:t>
      </w:r>
      <w:bookmarkStart w:id="8" w:name="AuditEndDate"/>
      <w:r w:rsidR="00A4268A">
        <w:rPr>
          <w:rFonts w:cs="Arial"/>
        </w:rPr>
        <w:t>17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Designate five previous rest home rooms as dual-purpose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Aparangi Village Residential Care Unit provides rest home, and hospital level care for up to a maximum of 54 residents. The care unit and surrounding retirement village is owned and operated by the Te Kauwhata Retirement Trust Board.  A new care unit manager (CM) who is a registered nurse (RN) was appointed following an issues-based audit in April 2020 which was instigated by the district health board (DHB). The CM is supported by two clinical nurse leaders (CNL) and reports to the recently appointed general manager (GM) who oversees business and operations for the entire site, including a large retirement village.</w:t>
      </w:r>
    </w:p>
    <w:p w:rsidRPr="00A4268A">
      <w:pPr>
        <w:spacing w:before="240" w:line="276" w:lineRule="auto"/>
        <w:rPr>
          <w:rFonts w:eastAsia="Calibri"/>
        </w:rPr>
      </w:pPr>
      <w:r w:rsidRPr="00A4268A">
        <w:rPr>
          <w:rFonts w:eastAsia="Calibri"/>
        </w:rPr>
        <w:t>Significant work has been completed to address the issues identified during the issues based, follow up and financial audits. These are now fully resolved with the exception of the consumer information management system and update of the website. Solutions to address these were still in progress.</w:t>
      </w:r>
    </w:p>
    <w:p w:rsidRPr="00A4268A">
      <w:pPr>
        <w:spacing w:before="240" w:line="276" w:lineRule="auto"/>
        <w:rPr>
          <w:rFonts w:eastAsia="Calibri"/>
        </w:rPr>
      </w:pPr>
      <w:r w:rsidRPr="00A4268A">
        <w:rPr>
          <w:rFonts w:eastAsia="Calibri"/>
        </w:rPr>
        <w:t>This recertification audit was conducted against the Health and Disability Services Standards and the service’s contract with the district health board (DHB). The audit process included review of policies and procedures, review of residents’ and staff files, observations and interviews with residents, family members, managers, staff, a general practitioner, contracted physiotherapist, nurse practitioner and a palliative care nurse.  All interviewees spoke positively about the care and services provided.</w:t>
      </w:r>
    </w:p>
    <w:p w:rsidRPr="00A4268A">
      <w:pPr>
        <w:spacing w:before="240" w:line="276" w:lineRule="auto"/>
        <w:rPr>
          <w:rFonts w:eastAsia="Calibri"/>
        </w:rPr>
      </w:pPr>
      <w:r w:rsidRPr="00A4268A">
        <w:rPr>
          <w:rFonts w:eastAsia="Calibri"/>
        </w:rPr>
        <w:t xml:space="preserve">This onsite audit also considered re configuration of previous rest home beds into dual purpose, and a whanau room converted for use as a palliative care suite. Observation and investigation, confirmed that the proposed configuration for a maximum 54 beds- a decrease of two rooms, 21 rooms designated for rest home use only, one room designated for respite/short stay and 32 bedrooms for dual purpose (rest home or hospital) was safe and suitable.    </w:t>
      </w:r>
    </w:p>
    <w:p w:rsidRPr="00A4268A">
      <w:pPr>
        <w:spacing w:before="240" w:line="276" w:lineRule="auto"/>
        <w:rPr>
          <w:rFonts w:eastAsia="Calibri"/>
        </w:rPr>
      </w:pPr>
      <w:r w:rsidRPr="00A4268A">
        <w:rPr>
          <w:rFonts w:eastAsia="Calibri"/>
        </w:rPr>
        <w:t>One new finding about not recording the effects of ‘as needed’ medicines was identified during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and there was evidence that complaints are acknowledged, investigated and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quality and risk management plans include the scope, direction, goals, values and mission statement of the organisation.  An experienced and suitably qualified person manages the care facility.</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Feedback on service delivery is sought from residents and families. Adverse events are documented with corrective actions implemented. Actual and potential risks, including health and safety risks, are identified and mitigated.  Policies and procedures support service delivery and are current. </w:t>
      </w:r>
    </w:p>
    <w:p w:rsidRPr="00A4268A">
      <w:pPr>
        <w:spacing w:before="240" w:line="276" w:lineRule="auto"/>
        <w:rPr>
          <w:rFonts w:eastAsia="Calibri"/>
        </w:rPr>
      </w:pPr>
      <w:r w:rsidRPr="00A4268A">
        <w:rPr>
          <w:rFonts w:eastAsia="Calibri"/>
        </w:rPr>
        <w:t>The appointment, orientation and management of staff is based on good employment practice. A systematic approach to identify and deliver ongoing training to staff, supports safe service delivery.  Staffing levels and skill mix meet the changing needs of residents.</w:t>
      </w:r>
    </w:p>
    <w:p w:rsidRPr="00A4268A">
      <w:pPr>
        <w:spacing w:before="240" w:line="276" w:lineRule="auto"/>
        <w:rPr>
          <w:rFonts w:eastAsia="Calibri"/>
        </w:rPr>
      </w:pPr>
      <w:r w:rsidRPr="00A4268A">
        <w:rPr>
          <w:rFonts w:eastAsia="Calibri"/>
        </w:rPr>
        <w:t xml:space="preserve">Consumer information management systems are effective and meet the requirements. Both electronic and hard copy consumer records were in use.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admission process is appropriate and efficiently managed with relevant information provided to the potential resident/family. The multidisciplinary team, including registered nurses (RNs) and a general practitioner (GP),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An electronic medication management system is used, and medicines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Systems for management of waste and hazardous substances are safe and effective. Staff were observed to be using protective equipment and clothing. Chemicals, soiled linen and equipment are safely secured. There was a current building warrant of fitness.  All internal and external areas were easily accessible, clutter free, well maintained and meet the needs of residents.  Electrical equipment and medical equipment are tested at least annually. Mobility equipment and furniture was in good condition and fit for purpose.</w:t>
      </w:r>
    </w:p>
    <w:p w:rsidRPr="00A4268A">
      <w:pPr>
        <w:spacing w:before="240" w:line="276" w:lineRule="auto"/>
        <w:rPr>
          <w:rFonts w:eastAsia="Calibri"/>
        </w:rPr>
      </w:pPr>
      <w:r w:rsidRPr="00A4268A">
        <w:rPr>
          <w:rFonts w:eastAsia="Calibri"/>
        </w:rPr>
        <w:t xml:space="preserve">All areas of the home were being cleaned daily to a high standard. Except for some residents who prefer to do their own personal laundry, laundry is undertaken offsite and evaluated for effectiveness. Staff were attending regular training in emergency procedures, use of emergency equipment and supplies. Security is maintained. The call bell system was functional and staff response to call bells is being monitored.  </w:t>
      </w:r>
    </w:p>
    <w:p w:rsidRPr="00A4268A">
      <w:pPr>
        <w:spacing w:before="240" w:line="276" w:lineRule="auto"/>
        <w:rPr>
          <w:rFonts w:eastAsia="Calibri"/>
        </w:rPr>
      </w:pPr>
      <w:r w:rsidRPr="00A4268A">
        <w:rPr>
          <w:rFonts w:eastAsia="Calibri"/>
        </w:rPr>
        <w:t>Communal and individual spaces are maintained at a comfortable temperature.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 the days of audit there were 10 residents who required bedrails or lap belts as either enablers or restraints, to keep them safe from harm.</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6"/>
        <w:gridCol w:w="1280"/>
        <w:gridCol w:w="96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Aparangi Village Residential Care Unit has developed policies, procedures and processes to meet its obligations in relation to the Code of Health and Disability Services Consumers’ Rights (the Code).  The interviewed staff demonstrated knowledge and understanding of consumers’ rights and obligations. Staff were observed demonstrating respectful communication, encouraging independence, providing options, and maintaining dignity and privacy. The orientation process for all staff employed included the Code. Ongoing training on the Code is part of mandatory training scheduled on the annual education planner. This was verified in staff training records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is encouraged, and these plans were sighted in some records reviewed. Establishing and documenting enduring power of attorney requirements and processes for residents unable to consent is defined and documented, as relevant, in the residents’ records.  Staff were observed to gain verbal consent for day to day care. Other consent records sighted were for influenza vaccinations.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the Code, which also includes information on the Advocacy Service is provided in the admission pack. Posters and brochures related to the Advocacy Service were also displayed and available in the facility. Interviewed residents and family members were aware of the Advocacy Service, how to access this and residents’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family members reported unrestricted visiting hours to the facility, though access is controlled after hours and the visitors can gain access through use of intercom. Family stated they felt welcome when they visited and comfortable in their encounters with staff when they visit. Staff support residents to access services within the community when appropriate, including attending to organised outings, visits, shopping trips and family can help with external appointments if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understood the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recorded three complaints from family members received this year. Acknowledgement, investigations and actions taken, through to an agreed resolution, are documented and completed within the timeframes stated in policy. There have been no known complaints received by the Office of the Health and Disability Commissioner or the DHB since the previous audit. One complaint was still being investigated and remained open at the time of this audit.  </w:t>
            </w:r>
          </w:p>
          <w:p w:rsidR="00EB7645" w:rsidRPr="00BE00C7" w:rsidP="00BE00C7">
            <w:pPr>
              <w:pStyle w:val="OutcomeDescription"/>
              <w:spacing w:before="120" w:after="120"/>
              <w:rPr>
                <w:rFonts w:cs="Arial"/>
                <w:b w:val="0"/>
                <w:lang w:eastAsia="en-NZ"/>
              </w:rPr>
            </w:pPr>
            <w:r w:rsidRPr="00BE00C7">
              <w:rPr>
                <w:rFonts w:cs="Arial"/>
                <w:b w:val="0"/>
                <w:lang w:eastAsia="en-NZ"/>
              </w:rPr>
              <w:t>The CM is responsible for complaints management and follow up, with final signoff by the GM. All complaints are reported at board level monthly as confirmed in meeting minutes and reports sighted.</w:t>
            </w:r>
          </w:p>
          <w:p w:rsidR="00EB7645" w:rsidRPr="00BE00C7" w:rsidP="00BE00C7">
            <w:pPr>
              <w:pStyle w:val="OutcomeDescription"/>
              <w:spacing w:before="120" w:after="120"/>
              <w:rPr>
                <w:rFonts w:cs="Arial"/>
                <w:b w:val="0"/>
                <w:lang w:eastAsia="en-NZ"/>
              </w:rPr>
            </w:pPr>
            <w:r w:rsidRPr="00BE00C7">
              <w:rPr>
                <w:rFonts w:cs="Arial"/>
                <w:b w:val="0"/>
                <w:lang w:eastAsia="en-NZ"/>
              </w:rPr>
              <w:t>The staff, residents and family members interviewed demonstrated knowledge and understanding of the complaint process and the procedures associated with complaints/concerns.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the admitting RNs. The Code, both in English and Maori languages was displayed on the notice boards around the facility together with information on advocacy services, how to make a complaint and feedback forms. There was a complaints box near the reception area that is accessible to residents and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Residents’ personal clothes were labelled with residents’ names for easy identification. Staff were observed to maintain privacy throughout the audit by providing personal cares behind closed doors. All residents have a private room and there was one couple who share a room with their spouse.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to attend to community activities and participation in clubs of their choosing. Reviewed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as part of the mandatory training for all staff annually. Interviewed family members confirmed that they have not witnessed or suspected any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there was one resident who identified as Maori. The resident and their family reported that staff acknowledge and respect their individual cultural needs. There were five staff who identify as Maori and the service has engaged a kaumatua who supports with cultural advice. Barriers to access appropriate services were identified and eliminated where possible. 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orientation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and mental health services for older persons, and education of staff. The general practitioner (GP) and nurse practitioner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Online training is available for all staff through Ko Awatea.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The residents and their family where appropriate, reported their involvement in three monthly reviews with the GP and the nursing team.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through the local district health board, although reported this was rarely required due to all residents able to speak English; staff able to provide interpretation as and when needed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three-year (2021-2024) business plans outlines the vision, values, missions, and goals of the organisation. The document describes strength, opportunities, weakness and threats, objectives and key priorities. Interview with the board chairperson, the general manager (GM) and CM confirmed that business goals and other operational matters are discussed at monthly board meetings. This was also verified in the sample of board reports reviewed. The new general manager who commenced the role on 24 August 2020 is responsible for village management, financial and site development. The CM reports to the GM. Senior management and the board chair confirmed that the reviewed organisational structure and communication methods are effective. Communication between the board and the care facility is occurring in a timely manner via the GM.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holds a current nursing practising certificate and has long term clinical and aged care management experience. This person has been in the role since early May 2020. Responsibilities and accountabilities are now defined in a job description and individual employment agreement.  Both managers confirmed knowledge of the sector, regulatory and reporting requirements and they maintain currency through online education and regular sector meetings. For example, the DHB Aged residential care (ARC) meetings when they resume, and liaison with other aged care facility managers. Aparangi Village Residential Care Centre (Aparangi) continues as a member of the Community Trust Care Association (CTCA) group. CTCA is a business entity comprising nine aged care facilities who share common factors, such as being located rurally and governed by not for profit organisations.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holds agreements with the DHB for aged residential care (ARC) in rest home, hospital, medical, respite and palliative care, Long Term Support-Chronic Health Conditions (LTS-CHC) and the Ministry of Health (MoH) for Young People with Disabilities (YPD). There is also a contract for a community day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46 of the 54 beds were occupied. Twenty-seven residents were receiving rest home level care, one person was on short term respite and 17 residents were receiving hospital care, plus another person was palliative. Two people were under 65 years of age one under MoH YPD and one under LTS-CHC. One was receiving rest home level care and the other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sought to reconfigure its service with the Ministry of Health (MoH) in October 2020 by applying for five additional hospital beds. Changes within the current layout have occurred in order to cluster hospital and palliative care rooms. The current desired configuration is 32 dual purpose rooms (11 designated hospital) and 21 rest home beds plus one respite room - total 54 beds. This takes into account the previous seven occupation right agreement (ORA) apartments within the care unit which had been approved for rest home care in 2014. The organisation is buying back these apartments as they become available for use as care beds. Five are still under an ORA, two of which are occupied by people receiving care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previous quiet room has been refurbished and re-designated for hospital care.  All 32 hospital/dual purpose rooms inspected were sufficiently sized to accommodate mobility equipment or had celling hoists installed. Installation of ceiling hoists in all dual-purpose bedrooms has been approved by the board. The rooms are all in close proximity to the nursing station, sluice room and common dining and activity areas. All have hand basins and toilets or full ensuite bathrooms and/or proximity to shower bed bathrooms. More information is described in Outcome 1.4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and unplanned absences of the CM are covered by one of the CNLs with support from the GM. Their clinical responsibilities are covered temporarily by the other CNL with support from other senior RN’s.  Staff reported these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Significant work has occurred since the April 2020 issues based audit, to re-establish effective quality and risk management systems. All levels of staff and the board are regularly informed about how the service is performing according to its quality and risk monitoring. The system includes gathering essential quality data from complaints, resident and relative feedback, adverse event reports, the outcomes of internal auditing, infection events and restraint activity. All adverse events such as falls - witnessed and unwitnessed - causing injury or no injury; skin tears, behaviours of concern, pressure injuries, and medicine errors are collated, analysed for trended and then reported to all staff with remedial actions to prevent recurrence. Neurological observations after unwitnessed falls are reliably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 suite of sector standardised policies and procedures which cover all aspects of the service and contractual requirements, including reference to the interRAI Long Term Care Facility (LTCF) assessment tool and process.  The policies are based on best practice, and have been personalised to reflect Aparangi Village Residential Care Centre. The policies which were required as a result of the DHB audits, for example, financial management policies, communication protocols, and website and electronic use policy, have been completed, ratified by the board and are now implemented. These corrective actions are now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 control system provides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Aparangi/Te Kauwhata Trust Board is continuing its membership with the Community Trust Care Association (CTCA) and the benefits its gains from bulk purchasing, sharing staff training and management expertise, following the same policies and procedures and benchmarking between the nine aged care facilities who are members.</w:t>
            </w:r>
          </w:p>
          <w:p w:rsidR="00EB7645" w:rsidRPr="00BE00C7" w:rsidP="00BE00C7">
            <w:pPr>
              <w:pStyle w:val="OutcomeDescription"/>
              <w:spacing w:before="120" w:after="120"/>
              <w:rPr>
                <w:rFonts w:cs="Arial"/>
                <w:b w:val="0"/>
                <w:lang w:eastAsia="en-NZ"/>
              </w:rPr>
            </w:pPr>
            <w:r w:rsidRPr="00BE00C7">
              <w:rPr>
                <w:rFonts w:cs="Arial"/>
                <w:b w:val="0"/>
                <w:lang w:eastAsia="en-NZ"/>
              </w:rPr>
              <w:t>Feedback reviewed from the August 2020 resident and family satisfaction surveys and the monthly residents’ meetings revealed a moderate to high level of satisfaction and no major areas of concern.  This information, adverse event data and the results of internal audits are reported to a clinical governance group/board subcommittee monthly.  Where areas for improvement are identified, corrective action plans are being documented by the clinical leaders and the care manager. The actions required are monitored to ensure implementation and that the desired effects have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notifies all staff of corrective actions or policy/process changes by memos and verbally at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an up to date risk management plan and hazard register which are monitored by the GM, CM and members of the health and safety committee, and any risks are reported to the board. Senior staff and the health and safety team are familiar with the Health and Safety at Work Act (2015) and described processes for the identification, monitoring, review and reporting of risks and development of mitigation strategies.</w:t>
            </w:r>
          </w:p>
          <w:p w:rsidR="00EB7645" w:rsidRPr="00BE00C7" w:rsidP="00BE00C7">
            <w:pPr>
              <w:pStyle w:val="OutcomeDescription"/>
              <w:spacing w:before="120" w:after="120"/>
              <w:rPr>
                <w:rFonts w:cs="Arial"/>
                <w:b w:val="0"/>
                <w:lang w:eastAsia="en-NZ"/>
              </w:rPr>
            </w:pPr>
            <w:r w:rsidRPr="00BE00C7">
              <w:rPr>
                <w:rFonts w:cs="Arial"/>
                <w:b w:val="0"/>
                <w:lang w:eastAsia="en-NZ"/>
              </w:rPr>
              <w:t>Previous concerns and areas for improvement with regard to quality and risk management systems are now addressed. Updates to the website are in progress but are still to be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Each event form recorded that families or significant others had been notified and family members interviewed confirmed they were being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reported to the senior management team manually. The electronic system in use does not alert the CNLs or care manager of new incidents, which has been a source of ongoing frustration and in one situation led to a response delay for remediating signs of skin breakdown. The organisation has prioritised purchase of new software but procurement has been interrupted by the series of lockdowns this year. All incidents are being clearly reported up at handovers, in the interim as a risk mitigation measure. A summary of adverse events is reported at board level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GM understand and adhere to essential notification reporting requirements. They advised the only section 31 essential notification reports since April this year were for notifying changes in management and shortage of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position descriptions identified as needing to be developed for the CM, executive administrator and financial administrator roles, have been completed. These were reviewed and verified as suitable. The previous corrective actions are now closed.</w:t>
            </w:r>
          </w:p>
          <w:p w:rsidR="00EB7645" w:rsidRPr="00BE00C7" w:rsidP="00BE00C7">
            <w:pPr>
              <w:pStyle w:val="OutcomeDescription"/>
              <w:spacing w:before="120" w:after="120"/>
              <w:rPr>
                <w:rFonts w:cs="Arial"/>
                <w:b w:val="0"/>
                <w:lang w:eastAsia="en-NZ"/>
              </w:rPr>
            </w:pPr>
            <w:r w:rsidRPr="00BE00C7">
              <w:rPr>
                <w:rFonts w:cs="Arial"/>
                <w:b w:val="0"/>
                <w:lang w:eastAsia="en-NZ"/>
              </w:rPr>
              <w:t>A sample of staff records reviewed confirmed the organisation’s policies are being consistently implemented and records are maintained. Staff orientation includes all necessary components relevant to the role. Staff reported that the orientation process prepared them well for their role. Staff records reviewed showed documentation of completed orientation and a performance review after three-weeks and then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Mandatory training days cover the Code of Consumer Rights, chemical safety, incontinence, falls prevention, manual handling, managing challenging behaviour and restraint minimisation, infection prevention and control, health and safety and fire and emergency readiness.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education programme to meet the requirements of the provider’s agreement with the DHB. Of the 42 care staff, twenty eight are currently enrolled with Careerforce and progressing the national certificate in health and wellness. Five people have achieved level four, 12 are at level three and two are at level two. Only one carer is at level four due to their length of service.  Seven of eight RNs employed are maintaining their annual competency requirements to undertake interRAI assessments, as are the two CNLs. There is also one enrolled nurse employed. The staff records sampled demonstrated completion of the required training and that annual performance appraisals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determining staffing levels and skill mixes which was reflected in the rosters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described how staffing levels are adjusted to meet the changing acuity level of residents, including use of interRAI information, to support staffing decisions.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on morning and afternoon duty reported there were adequate staff available to complete the work allocated to them. Residents and family interviewed supported this. Bureau staff have had to be used to cover one to two night shifts shortages of RNs each week for the past two months. This has been reported via section 31 notifications. This has been resolved by implementing a rotating shift roster for all RNs and recruitment for night-time RNs is ongoing.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duty has a current first aid certificate and there is 24 hour/seven days a week RN coverage in the facility. Observations and review of a four week roster cycle confirmed adequate staff cover has been provided for morning and afternoon shifts, with staff replaced in any unplanned absence across all shifts. The CM advised that they are maintaining an adequate casual pool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Aparangi Village Residential Care Unit uses an electronic information management system with a backup of a paper-based system in case of emergencies when the electronic system cannot be accessed. The electronic information management system is supported by paper-based system for some records still in use, for example incident/adverse event forms are paper based. Reviewed records demonstrated that documentation was accurate and was entered in the system in a timely manner by all staff. The carers were observed using i-pads and have individual passwords to access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were stored in secure locked cupboards in the nurses’ station. All reviewed records were legible with the name and designation of the person making the entry identifiable. There is a current staff signature register in place. Residents’ records were integrated to include the GP, nursing staff, activities, physiotherapy and other specialist services’ notes in the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residents enter the service when their required level of care has been assessed and confirmed by the local Needs Assessment and Service Coordination (NASC) Service. Prospective residents and/or their families are encouraged to visit the facility prior to admission. Written information about the service and the admission process is provided to the prospective residents and/or their family prior to admission in the enquiry pack. The facility manager, clinical nurse leader (CNL) or the admitting RNs explain the entry process to the prospective residents. Updated information from the NASC and the GP is requested for residents accessing respite care; respite care records reviewed verified this.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manage the exit, discharge or transfer of residents with the support of the CNLs, with an escort provided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were documented in the progress notes. An example reviewed of a patient recently transferred to the local acute care facility demonstrated that adequate information was shared with the receiving service to promote continuity resident’s care. The resident’s family reported being kept well informed during the transfer of their relative. If the needs of a resident change and they are no longer suitable for the services offered, a referral for reassessment to the NASC is made and a new placement found, in consultation with the resident and whānau/family. This was verified in the referral records sighted. There is a clause in the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Aparangi Village Residential Care Unit has a documented policy on the management of the medication system. An electronic medication management system is in use. All staff who administer medication have individual passwords to access the electronic medication records. Allergies were documented, identification photos were present and three-monthly reviews were completed. The RN was observed administering medication correctly. All staff who administer medicines had current medication administration competencies. The medication administration competencies are renewed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RNs conduct the medication reconciliation when residents are readmitted from acute services, for new admissions or when there are any medication changes. There is a contracted pharmacy that supplies medication to the service in a pre-packaged format. The packs received from the pharmacy are checked by RNs and recorded on the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There were controlled drugs kept onsite. The controlled drug register was current and correct. Weekly and six-monthly stock takes were conducted, and all medications were stored appropriately. Medication audits were conducted, and corrective actions have been acted on. Monitoring of the medication fridge and the room temperature were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 on the days of the audit. There is a policy and procedure for self-administration of medication if required.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The medicines management policy complies with legislation, protocols and guidelines; however some administered PRN medicines were not evaluated for effectiveness.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support services supervisor is responsible for all aspects of food procurement through food wholesaler in consultation with the cooks. The food service is provided on site by three cooks and kitchen assistants and is in line with recognised nutritional guidelines for older people.  The menu follows summer and winter patterns on a four-week cycle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preparation, storage, transportation, delivery and disposal comply with current legislation and guidelines. The service operates with an approved and current food safety plan and registration issued by Waikato City Council. Food temperatures, including for high risk items, were monitored appropriately and recorded as part of the plan. The cooks have safe food handling qualifications,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Copies of the diet profiles were sighted in the kitchen folder.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On the days of the audit,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Repairs have occurred to the ceiling of the kitchenette used for serving residents’ meals. The laundry washing machine installed in this room has been decommissioned. These corrective actions are now complete.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CNL stated that when a referral is received but the prospective resident does not meet the entry criteria or there is no vacancy, the local NASC is advised to ensure the prospective resident and family are supported to find an appropriate care alternative. The prospective resident and/or their family of choice are informed of the reason for the decline of entry to the service and other options or alternative services. Examples of this occurring were discussed with the CNL. Inquiry records were maintained and follow up conducted and a record of the declined referrals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needs, outcomes and residents’ goals were identified via the assessment process and documented in the electronic and paper-based assessment records reviewed. Validated nursing assessment tools, such as, a pain scale, falls risk, skin integrity, nutritional screening, continence and activities of daily living needs, were used as a means to identify any deficits and to inform care planning. The sample of care plans reviewed had an integrated range of resident-related information.  Reviewed residents’ records had current interRAI assessments completed and identified needs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Residents’ individual needs were evident in the service provided. The GP, nurse practitioner, physiotherapist and mental health specialist interviewed, verified that expert input was sought in a timely manner, that recommended interventions were followed, and care was implemented promptly.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(DT) holding the national Certificate in Diversional Therapy, and two activities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form is included in the pre-entry information provided to residents and family or residents complete it before admission or the staff can complete it within the first week of admission. Information gathered is to ascertain residents’ needs, interests, abilities and social requirements. The DT is responsible for completing the activities care plan with the help of the activities assistants. Daily activities attendance records were maintained. The activities programme was regularly discussed in the residents’ meetings and assessed as part of the residents’ satisfaction surveys to help formulate an activities programme that is meaningful to the residents. The residents’ activity needs were evaluated regularly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Residents’ activities records reviewed reflected residents’ goals, ordinary patterns of life and included normal community activities. Individual, group activities and regular events are offered. Planned activities included birthday celebrations, monthly theme celebrations, bingo, church services, van outings, music, board games, external entertainment, exercises, men’s outings and pampering sessions for women. Residents were observed participating in a variety of activities on the days of the audit. The interviewed residents confirmed they find the programme satisfactory.</w:t>
            </w:r>
          </w:p>
          <w:p w:rsidR="00EB7645" w:rsidRPr="00BE00C7" w:rsidP="00BE00C7">
            <w:pPr>
              <w:pStyle w:val="OutcomeDescription"/>
              <w:spacing w:before="120" w:after="120"/>
              <w:rPr>
                <w:rFonts w:cs="Arial"/>
                <w:b w:val="0"/>
                <w:lang w:eastAsia="en-NZ"/>
              </w:rPr>
            </w:pPr>
            <w:r w:rsidRPr="00BE00C7">
              <w:rPr>
                <w:rFonts w:cs="Arial"/>
                <w:b w:val="0"/>
                <w:lang w:eastAsia="en-NZ"/>
              </w:rPr>
              <w:t>Individual activities were offered for younger residents including support to attend to external community activities. The interviewed resident reported satisfaction with the activities provided for younger residents. The residents stated that they can join in the entertainment sessions and any other group activities of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reviewed residents’ records evidenced that long-term care plans were conducted six-monthly following six-monthly interRAI reassessments. Where there was a significant change of residents’ condition, the interRAI reassessments was completed to reflect the residents’ current condition and care plan updated. Where the residents’ required goals were not achieved, the service responded by initiating changes to the plan of care. Carers evaluate residents’ care on each shift and document in the progress notes. Changes noted were reported to the RNs and this was verified in the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implemented for acute conditions, such as urinary tract infections, chest infections, eye infections and wound infections. These were being consistently reviewed and progress evaluated as clinically indicated. Residents and families/whānau interviewed confirmed their involvement in evaluation of progress and any resulting changes during six-monthly multidisciplinary review meetings and three-monthly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given the choice and advised of options to access other health and disability services where indicated or requested. This information was clearly indicated on the signed informed consent forms sighted in residents’ files sampled. Residents may choose to use another medical practitioner if they wish to. If the need for other non-urgent services are indicated or requested, the GP or RN sends a referral to seek specialist input.  Copies of referrals were sighted in residents’ files, including to the palliative care/hospice team, mental health team, dentists and urologists. The residents and the family/whānau were kept informed of the referral process, as verified by documentation and interviews. Any acute/urgent referrals were attended to immediately, such as sending the resident to acute services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There is known secure storage areas for waste. Recycling occurs and includes fat, oil and plastic. Appropriate signage is displayed where necessary. An external company is contracted to supply and manage all chemicals and cleaning products and they also provide regular training for all staff.</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were available where chemicals are stored, and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supplies of personal protective equipment (PPE) on site and staff were observed to be using these appropriately. All staff have attended training on the correct procedures for donning and doffing PPE.  </w:t>
            </w:r>
          </w:p>
          <w:p w:rsidR="00EB7645" w:rsidRPr="00BE00C7" w:rsidP="00BE00C7">
            <w:pPr>
              <w:pStyle w:val="OutcomeDescription"/>
              <w:spacing w:before="120" w:after="120"/>
              <w:rPr>
                <w:rFonts w:cs="Arial"/>
                <w:b w:val="0"/>
                <w:lang w:eastAsia="en-NZ"/>
              </w:rPr>
            </w:pPr>
            <w:r w:rsidRPr="00BE00C7">
              <w:rPr>
                <w:rFonts w:cs="Arial"/>
                <w:b w:val="0"/>
                <w:lang w:eastAsia="en-NZ"/>
              </w:rPr>
              <w:t>Refurbishment of the sluice room identified as needing an upgrade earlier this year, has occurred. This corrective action is now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22 April 2021) is publicly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(June 2020) was current as confirmed in documentation reviewed, interviews with maintenance personnel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hazard free, residents were safe and independence was promoted. The service had adequate lifting equipment, including ceiling hoists, in the majority of hospital bedrooms with plans to install these in all of the 32 proposed dual-purpose rooms.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All external areas have seating and shaded areas for resident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a hand basin. Twenty-two rooms have full ensuite bathrooms and the other 32 have toilets. Hot water temperature monitoring of all water outlets occurs monthly. Hot water temperatures are moderated by tempering valves and the records showed that temperatures were within the safe range, no hotter than 45 degrees Celsius in resident areas and 60 degrees in the kitchen and sluice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staff and visitor toilets.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The bathroom that required repair to a leaking ceiling is now fit for purpose. Remedial work to the bathroom which houses the shower bed and hair salon is planned but building work cannot commence until March 2021. The bathroom is adequate and poses no threat to resident safety in the meantime.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Bedrooms are personalised with furnishings, photos and other personal items displayed. All bedroom doors are wide enough to use mobile lifting equipment to go into the room and all bedrooms are of adequate size for the resident group, either rest home 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of all areas confirmed the safety and appropriateness of increasing the number of bedrooms approved for dual purpose use. The overall number of rooms in use has decreased by two to a maximum of 54 bedrooms. Twenty-two of these are considered as suitable for rest home use only which included one room dedicated for short stay/respite. The location and size of the other 32 rooms which have toilets or full ensuite bathrooms, hand basins, electric beds and ceiling hoists (except for 10) make these suitable for either rest home of hospital level care/dual purpose. One of these rooms is dedicated for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provides space for storage of mobility aids and wheelchairs. There is a dedicated mobility scooter bay which allows all scooters to be charged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dining rooms and a number of lounge/recreational areas are appropriately furnished and located within close walking distance for residents. Residents have access to a range of internal and external areas for privacy, if required. All of the residents interviewed were happy with the areas provided.</w:t>
            </w:r>
          </w:p>
          <w:p w:rsidR="00EB7645" w:rsidRPr="00BE00C7" w:rsidP="00BE00C7">
            <w:pPr>
              <w:pStyle w:val="OutcomeDescription"/>
              <w:spacing w:before="120" w:after="120"/>
              <w:rPr>
                <w:rFonts w:cs="Arial"/>
                <w:b w:val="0"/>
                <w:lang w:eastAsia="en-NZ"/>
              </w:rPr>
            </w:pPr>
            <w:r w:rsidRPr="00BE00C7">
              <w:rPr>
                <w:rFonts w:cs="Arial"/>
                <w:b w:val="0"/>
                <w:lang w:eastAsia="en-NZ"/>
              </w:rPr>
              <w:t>Residents may also access Simmonds Hall and its library, the retirement village common room which is adjacent to the care facility. The hall is used by village residents for a range of meetings and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services are provided off-site although there is a small laundry area available for residents who wish to continue doing their own clothes washing.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some issues with the outsourcing of resident’s personal laundry to the extent where Aparangi are considering their options for laundry services. Establishing a new laundry area to provide laundry services on site is under investigation.   </w:t>
            </w:r>
          </w:p>
          <w:p w:rsidR="00EB7645" w:rsidRPr="00BE00C7" w:rsidP="00BE00C7">
            <w:pPr>
              <w:pStyle w:val="OutcomeDescription"/>
              <w:spacing w:before="120" w:after="120"/>
              <w:rPr>
                <w:rFonts w:cs="Arial"/>
                <w:b w:val="0"/>
                <w:lang w:eastAsia="en-NZ"/>
              </w:rPr>
            </w:pPr>
            <w:r w:rsidRPr="00BE00C7">
              <w:rPr>
                <w:rFonts w:cs="Arial"/>
                <w:b w:val="0"/>
                <w:lang w:eastAsia="en-NZ"/>
              </w:rPr>
              <w:t>Two cleaners are on site for 6.5 hours Monday to Friday with a third cleaner rostered on each Wednesday. One cleaner is allocated the same hours on Saturdays and Sundays. All cleaning staff are receiving ongoing training including the New Zealand Qualifications Authority Certificate in Cleaning (Level 2).</w:t>
            </w:r>
          </w:p>
          <w:p w:rsidR="00EB7645" w:rsidRPr="00BE00C7" w:rsidP="00BE00C7">
            <w:pPr>
              <w:pStyle w:val="OutcomeDescription"/>
              <w:spacing w:before="120" w:after="120"/>
              <w:rPr>
                <w:rFonts w:cs="Arial"/>
                <w:b w:val="0"/>
                <w:lang w:eastAsia="en-NZ"/>
              </w:rPr>
            </w:pPr>
            <w:r w:rsidRPr="00BE00C7">
              <w:rPr>
                <w:rFonts w:cs="Arial"/>
                <w:b w:val="0"/>
                <w:lang w:eastAsia="en-NZ"/>
              </w:rPr>
              <w:t>Chemicals were stored in a lockable cupboard and were in appropriately labelled containers. Cleaning and laundry processes are monitored through the internal audit programme with monthly checks being conducted as part of the environmental audits. Visual checks are undertaken of laundry daily when it is unpacked.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was reviewed and approved by Fire and Emergency New Zealand on the 14 October 2020. A trial evacuation takes place six-monthly with a copy sent to the New Zealand Fire Service, the most recent being on 10 November 2020.</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54 residents.  This meets the Ministry of Civil Defence and Emergency Management recommendations for the region. Water storage tanks are located around the complex, and there is now a petrol operated generator on site.  The generator is capable of running for 8 hours on 1 tank. Sufficient fuel for 3 days running is stored on site.  The generator will run outside the building and is not wired in to the main power grid. It provides enough power to run oxygen generators and sustain life and keep the medications fridges running. The provider conducts test runs and records the results of the test monthly. The previous corrective action related to this is now closed.</w:t>
            </w:r>
          </w:p>
          <w:p w:rsidR="00EB7645" w:rsidRPr="00BE00C7" w:rsidP="00BE00C7">
            <w:pPr>
              <w:pStyle w:val="OutcomeDescription"/>
              <w:spacing w:before="120" w:after="120"/>
              <w:rPr>
                <w:rFonts w:cs="Arial"/>
                <w:b w:val="0"/>
                <w:lang w:eastAsia="en-NZ"/>
              </w:rPr>
            </w:pPr>
            <w:r w:rsidRPr="00BE00C7">
              <w:rPr>
                <w:rFonts w:cs="Arial"/>
                <w:b w:val="0"/>
                <w:lang w:eastAsia="en-NZ"/>
              </w:rPr>
              <w:t>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and allows for the response times to be monitored.  A random call bell test during the audit was responded to within six minutes. However, residents and families said that staff usually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voluntary community security patrol checks the premises each night at random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and communal areas are heated and ventilated appropriately. Each room has adequate natural light, opening external windows and many have doors that open onto outside garden areas. Heating is provided by hot water radiators with thermostats located in each resident’s bedroom and in the communal areas. There are also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Aparangi Village Residential Care Unit has implemented an infection prevention and control (IPC) programme to minimise the risk of infection to residents, staff and visitors.  The programme is guided by a comprehensive and current infection control manual, with input from infection control specialist service. The infection control programme was reviewed in September 2020 and an annual review is planned.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CNL is the designated infection prevention and control coordinator (ICC), whose role and responsibilities are defined in a job description. Infection control matters, including surveillance results, were reported monthly to the facility manager, and tabled at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was posted at the main entrance to the facility that requests anyone who is or has been unwell in the past 48 hours with an infectious condition, not to enter the facility. The infection control manual provides guidance for staff about how long they must stay away from work if they have been unwell. Staff interviewed understood these responsibilities. Covid-19 pandemic infection control recommendations from the Ministry of Health were implemented and current information was posted around the facility including maintaining a visitors’ register for contact tracing.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and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Adequate resources were sighted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were current and reflected the requirements of the infection prevention and control standard and current accepted good practice.  Policies were last reviewed in September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as part of the induction process for new staff and as mandatory training scheduled annually. Content of the training was documented and evaluated to ensure it is relevant, current and understood. A record of attendance was maintained. The ICC reported that when there is an infection outbreak or an increase in infection incidence has occurred, additional staff education has been provided in response. Additional staff education was provided during the Covid-19 pandemic period including hand hygiene, use of personal protective equipment, social distancing and increased monitoring of residents through daily symptom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One-to-one education was provided to residents when required and has included reminders about hand washing, advice about remaining in their room when they were unwell and good hygiene. This was verified in the short-term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education is provided by the ICC.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appropriate to that recommended for long term care facilities and includes infections of the urinary tract, soft tissue, eye, gastro-intestinal and the upper and lower respiratory tract. The ICC reviews all reported infections, and these were documented. New infections and any required management plan were discussed at handover, to ensure early intervention occurs. Regular infection prevention and control audits were conducted, and corrective actions were implemented as required.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Graphs were produced that identify trends for the current year, and comparisons against previous months and this was reported to the facility manager and the facility manager reports to the board.  There has been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One of the CNL’s is the restraint coordinator. This person provides support and oversight for enabler and restraint management in the facility and demonstrated understanding of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seven residents were using restraints (bedrails, safety belts when seated and a fall out chair) and three residents were using bedrails as enablers, which were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by observation of residents, their files reviewed,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restraint coordinator, registered nurse and GP or nurse practitioner, are responsible for the approval of the use of restraints and the restraint processes. It was evident from review of meeting minutes, residents’ files and interviews with the coordinator that there are clear lines of accountability that all restraints have been approved, and the overall use of restraints is being monitored.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family/whanau/EPOA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or another RN undertakes the initial assessment with the involvement, and input from the resident’s family/whanau/EPOA. The restraint coordinator and RN interviewed described the documented process. Families confirmed their involvement. The general practitioner or nurse practitioner are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all of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such as the use of sensor mats and low beds. Use of these was also observed on audit. Policy states that when restraints are in use, monitoring timeframes are identified according to the level of risk but never more than two hourly intervals. Monitoring records for each of the files sampled met the timeframes and expected requirements.  Access to advocacy is provided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and reported at staff and RN meetings every month. The register was reviewed and contained all residents currently using a restraint. Staff have received training in the organisation’s policy and procedures and in related topics, such as positively supporting people with challenging behaviours. Staff spoken to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and evaluated during interRAI reviews, and by the restraint approval group. Families interviewed confirmed their involvement in the evaluation process and their satisfaction with the restraint process. The documented evaluation process meets the requirements of the Standard, including future options to eliminate use, the impact and outcomes achieved, if the policy and procedure was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completes a quality review of all restraint use which includes all the requirements of this Standard. This is reported up to the CM and all RNs at least six monthly. The review includes analysis and evaluation of the amount of restraint use in the facility, whether all alternatives to restraint have been considered, the effectiveness of the restraint in use, the competency of staff and the appropriateness of restraint / enabler education and feedback from the RNs, staff and families. A six-monthly internal audit that is carried out also informs the review. Any changes to policies, guidelines, education and processes are implemented if indicated. Data reviewed, meeting minutes and interviews with the restraint coordinator confirmed that the use of restraint is being minimised.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20"/>
        <w:gridCol w:w="1280"/>
        <w:gridCol w:w="5118"/>
        <w:gridCol w:w="1938"/>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policy provides guidelines for the management of pro-re nata (PRN) medication. PRN medication is administered when required and associated documentation is completed on the electronic system. The effectiveness of some administered PRN medicines was not consistently monitored and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Eleven out of the 14 sampled medication charts did not have evaluations of the administered PRN medication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PRN medication administration protocols and guidelines are adhered to.</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Kauwhata Retirement Trust Board - Aparangi Village Residential Care Unit</w:t>
    </w:r>
    <w:bookmarkEnd w:id="58"/>
    <w:r>
      <w:rPr>
        <w:rFonts w:cs="Arial"/>
        <w:sz w:val="16"/>
        <w:szCs w:val="20"/>
      </w:rPr>
      <w:tab/>
      <w:t xml:space="preserve">Date of Audit: </w:t>
    </w:r>
    <w:bookmarkStart w:id="59" w:name="AuditStartDate1"/>
    <w:r>
      <w:rPr>
        <w:rFonts w:cs="Arial"/>
        <w:sz w:val="16"/>
        <w:szCs w:val="20"/>
      </w:rPr>
      <w:t>16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